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4D48D" w14:textId="25A3FE2B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Příloha č. </w:t>
      </w:r>
      <w:r w:rsidR="006507C6">
        <w:rPr>
          <w:rFonts w:cstheme="minorHAnsi"/>
          <w:szCs w:val="18"/>
        </w:rPr>
        <w:t>3</w:t>
      </w:r>
      <w:r w:rsidR="00B3777D">
        <w:rPr>
          <w:rFonts w:cstheme="minorHAnsi"/>
          <w:szCs w:val="18"/>
        </w:rPr>
        <w:t xml:space="preserve"> </w:t>
      </w:r>
      <w:r w:rsidR="00D97C72" w:rsidRPr="002507FA">
        <w:rPr>
          <w:rFonts w:cstheme="minorHAnsi"/>
          <w:szCs w:val="18"/>
        </w:rPr>
        <w:t>Zadávací dokumentace</w:t>
      </w:r>
    </w:p>
    <w:p w14:paraId="2374D48E" w14:textId="38E722FB" w:rsidR="001F39B2" w:rsidRPr="00E746F8" w:rsidRDefault="00022D53" w:rsidP="00637260">
      <w:pPr>
        <w:pStyle w:val="Nadpissml"/>
        <w:rPr>
          <w:szCs w:val="32"/>
        </w:rPr>
      </w:pPr>
      <w:r w:rsidRPr="002507FA">
        <w:t>R</w:t>
      </w:r>
      <w:r w:rsidR="00CC5257" w:rsidRPr="002507FA">
        <w:t xml:space="preserve">ámcová </w:t>
      </w:r>
      <w:r w:rsidR="00B55BD0" w:rsidRPr="002507FA">
        <w:t>dohoda</w:t>
      </w:r>
      <w:r w:rsidR="00CC5257" w:rsidRPr="002507FA">
        <w:t xml:space="preserve"> </w:t>
      </w:r>
      <w:r w:rsidR="00D334CF" w:rsidRPr="002507FA">
        <w:t xml:space="preserve">na </w:t>
      </w:r>
      <w:r w:rsidR="005E6AD4" w:rsidRPr="005E6AD4">
        <w:t xml:space="preserve">zpracování </w:t>
      </w:r>
      <w:r w:rsidR="005E6AD4">
        <w:t xml:space="preserve">PENB </w:t>
      </w:r>
    </w:p>
    <w:p w14:paraId="2374D48F" w14:textId="478E8B9F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 xml:space="preserve">č. Objednatele: </w:t>
      </w:r>
      <w:r w:rsidR="007E4F18" w:rsidRPr="00637260">
        <w:rPr>
          <w:rStyle w:val="Tun"/>
          <w:highlight w:val="yellow"/>
        </w:rPr>
        <w:t>[DOPLNÍ OBJEDNATEL PŘI PODPISU RÁMCOVÉ DOHODY]</w:t>
      </w:r>
    </w:p>
    <w:p w14:paraId="2374D490" w14:textId="428F21A9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>č.</w:t>
      </w:r>
      <w:r w:rsidR="00B41AE7" w:rsidRPr="00637260">
        <w:rPr>
          <w:rStyle w:val="Tun"/>
        </w:rPr>
        <w:t xml:space="preserve"> </w:t>
      </w:r>
      <w:r w:rsidR="00EA1D44" w:rsidRPr="00637260">
        <w:rPr>
          <w:rStyle w:val="Tun"/>
        </w:rPr>
        <w:t>Zhotovitele</w:t>
      </w:r>
      <w:r w:rsidRPr="00637260">
        <w:rPr>
          <w:rStyle w:val="Tun"/>
        </w:rPr>
        <w:t xml:space="preserve">: </w:t>
      </w:r>
      <w:r w:rsidR="007E4F18" w:rsidRPr="00637260">
        <w:rPr>
          <w:rStyle w:val="Tun"/>
          <w:highlight w:val="green"/>
        </w:rPr>
        <w:t>[DOPLNÍ ZHOTOVITEL]</w:t>
      </w:r>
    </w:p>
    <w:p w14:paraId="2374D492" w14:textId="77777777" w:rsidR="00D45DCA" w:rsidRDefault="00D45DCA" w:rsidP="008302ED">
      <w:pPr>
        <w:widowControl w:val="0"/>
        <w:spacing w:before="240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uzavřená analogicky k ustanovení § 131 zákona č. 134/2016 Sb., o zadávání veřejných zakázek, ve znění pozdějších předpisů (dále jen „</w:t>
      </w:r>
      <w:r w:rsidRPr="00637260">
        <w:rPr>
          <w:rStyle w:val="Kurzvatun"/>
        </w:rPr>
        <w:t>zákon</w:t>
      </w:r>
      <w:r w:rsidRPr="002507FA">
        <w:rPr>
          <w:rFonts w:cstheme="minorHAnsi"/>
          <w:szCs w:val="18"/>
        </w:rPr>
        <w:t xml:space="preserve">“), dle ustanovení </w:t>
      </w:r>
      <w:r w:rsidRPr="002507FA">
        <w:rPr>
          <w:rFonts w:cstheme="minorHAnsi"/>
          <w:szCs w:val="18"/>
        </w:rPr>
        <w:br/>
        <w:t>§ 2586 a násl. zákona č. 89/2012 Sb., občanský zákoník, ve znění pozdějších předpisů (dále jen „</w:t>
      </w:r>
      <w:r w:rsidRPr="00637260">
        <w:rPr>
          <w:rStyle w:val="Kurzvatun"/>
        </w:rPr>
        <w:t>Občanský zákoník</w:t>
      </w:r>
      <w:r w:rsidRPr="002507FA">
        <w:rPr>
          <w:rFonts w:cstheme="minorHAnsi"/>
          <w:szCs w:val="18"/>
        </w:rPr>
        <w:t xml:space="preserve">“) </w:t>
      </w:r>
    </w:p>
    <w:p w14:paraId="071565EC" w14:textId="7620BE1C" w:rsidR="0090001C" w:rsidRPr="002507FA" w:rsidRDefault="0090001C" w:rsidP="00637260">
      <w:r>
        <w:t>(dále jen „</w:t>
      </w:r>
      <w:r w:rsidRPr="00637260">
        <w:rPr>
          <w:rStyle w:val="Kurzvatun"/>
        </w:rPr>
        <w:t>Rámcová dohoda</w:t>
      </w:r>
      <w:r>
        <w:t>“)</w:t>
      </w:r>
    </w:p>
    <w:p w14:paraId="2374D493" w14:textId="77777777" w:rsidR="00176CA0" w:rsidRPr="002507FA" w:rsidRDefault="00CC5257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mezi</w:t>
      </w:r>
      <w:r w:rsidR="00D734CC" w:rsidRPr="002507FA">
        <w:rPr>
          <w:rFonts w:cstheme="minorHAnsi"/>
          <w:szCs w:val="18"/>
        </w:rPr>
        <w:t>:</w:t>
      </w:r>
    </w:p>
    <w:p w14:paraId="2374D494" w14:textId="01FE0A98" w:rsidR="00D734CC" w:rsidRPr="002507FA" w:rsidRDefault="00D734CC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  <w:t xml:space="preserve">Správa </w:t>
      </w:r>
      <w:r w:rsidR="00343CE9" w:rsidRPr="00637260">
        <w:rPr>
          <w:rStyle w:val="Tun"/>
        </w:rPr>
        <w:t>železnic</w:t>
      </w:r>
      <w:r w:rsidRPr="00637260">
        <w:rPr>
          <w:rStyle w:val="Tun"/>
        </w:rPr>
        <w:t>, státní organizace</w:t>
      </w:r>
    </w:p>
    <w:p w14:paraId="2374D495" w14:textId="4C020CBD" w:rsidR="00D734CC" w:rsidRPr="002507FA" w:rsidRDefault="00D734CC" w:rsidP="00637260">
      <w:pPr>
        <w:pStyle w:val="Identifikace"/>
      </w:pPr>
      <w:r w:rsidRPr="002507FA">
        <w:t>Sídlo:</w:t>
      </w:r>
      <w:r w:rsidR="00C4613C">
        <w:tab/>
      </w:r>
      <w:r w:rsidRPr="002507FA">
        <w:t>Praha 1</w:t>
      </w:r>
      <w:r w:rsidR="008B4D9D" w:rsidRPr="002507FA">
        <w:t xml:space="preserve"> -</w:t>
      </w:r>
      <w:r w:rsidRPr="002507FA">
        <w:t xml:space="preserve"> Nové Město, Dlážděná 1003/7, PSČ 110 00</w:t>
      </w:r>
    </w:p>
    <w:p w14:paraId="2374D496" w14:textId="3B02A16D" w:rsidR="00D734CC" w:rsidRPr="002507FA" w:rsidRDefault="00D734CC" w:rsidP="00637260">
      <w:pPr>
        <w:pStyle w:val="Identifikace"/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Pr="002507FA">
        <w:t>709</w:t>
      </w:r>
      <w:r w:rsidR="000878CB" w:rsidRPr="002507FA">
        <w:t xml:space="preserve"> </w:t>
      </w:r>
      <w:r w:rsidRPr="002507FA">
        <w:t>94</w:t>
      </w:r>
      <w:r w:rsidR="000878CB" w:rsidRPr="002507FA">
        <w:t xml:space="preserve"> </w:t>
      </w:r>
      <w:r w:rsidRPr="002507FA">
        <w:t>234</w:t>
      </w:r>
    </w:p>
    <w:p w14:paraId="2374D497" w14:textId="2EB8F532" w:rsidR="00D734CC" w:rsidRPr="002507FA" w:rsidRDefault="00D734CC" w:rsidP="00637260">
      <w:pPr>
        <w:pStyle w:val="Identifikace"/>
      </w:pPr>
      <w:r w:rsidRPr="002507FA">
        <w:t>DIČ:</w:t>
      </w:r>
      <w:r w:rsidR="00C4613C">
        <w:tab/>
      </w:r>
      <w:r w:rsidRPr="002507FA">
        <w:t>CZ70994234</w:t>
      </w:r>
    </w:p>
    <w:p w14:paraId="2374D498" w14:textId="77777777" w:rsidR="000878CB" w:rsidRPr="002507FA" w:rsidRDefault="000878CB" w:rsidP="00637260">
      <w:pPr>
        <w:pStyle w:val="Identifikace"/>
      </w:pPr>
      <w:r w:rsidRPr="002507FA">
        <w:t>Zapsán v obchodním rejstříku vedeném Městským soudem v Praze, oddíl A, vložka 48384</w:t>
      </w:r>
    </w:p>
    <w:p w14:paraId="2374D499" w14:textId="29361AAB" w:rsidR="000878CB" w:rsidRPr="002507FA" w:rsidRDefault="000878CB" w:rsidP="00637260">
      <w:pPr>
        <w:pStyle w:val="Identifikace"/>
      </w:pPr>
      <w:r w:rsidRPr="002507FA">
        <w:t>Zastoupen</w:t>
      </w:r>
      <w:r w:rsidR="00967DE1" w:rsidRPr="002507FA">
        <w:t>:</w:t>
      </w:r>
      <w:r w:rsidR="00C4613C">
        <w:tab/>
      </w:r>
      <w:r w:rsidR="006507C6">
        <w:t>Bc. Jiřím Svobodou, MBA, generálním ředitelem</w:t>
      </w:r>
    </w:p>
    <w:p w14:paraId="2374D49A" w14:textId="1739AD02" w:rsidR="008B4D9D" w:rsidRPr="002507FA" w:rsidRDefault="008B4D9D" w:rsidP="00637260">
      <w:r w:rsidRPr="002507FA">
        <w:t>Adresa pro doručování písemností</w:t>
      </w:r>
      <w:r w:rsidR="00B313E1">
        <w:t xml:space="preserve"> je uvedena v obchodních podmínkách, které jsou přílohou této smlouvy</w:t>
      </w:r>
    </w:p>
    <w:p w14:paraId="2374D49E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O</w:t>
      </w:r>
      <w:r w:rsidR="00C31031" w:rsidRPr="00637260">
        <w:rPr>
          <w:rStyle w:val="Kurzvatun"/>
        </w:rPr>
        <w:t>bjednatel</w:t>
      </w:r>
      <w:r w:rsidRPr="002507FA">
        <w:rPr>
          <w:rFonts w:cstheme="minorHAnsi"/>
          <w:szCs w:val="18"/>
        </w:rPr>
        <w:t>“ na straně jedné</w:t>
      </w:r>
    </w:p>
    <w:p w14:paraId="2374D49F" w14:textId="77777777" w:rsidR="00F265E8" w:rsidRPr="002507FA" w:rsidRDefault="00CC5257" w:rsidP="00637260">
      <w:pPr>
        <w:pStyle w:val="asmluvnstrany"/>
      </w:pPr>
      <w:r w:rsidRPr="002507FA">
        <w:t xml:space="preserve">a </w:t>
      </w:r>
    </w:p>
    <w:p w14:paraId="2374D4A0" w14:textId="4ED72259" w:rsidR="00294755" w:rsidRPr="002507FA" w:rsidRDefault="00294755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="007E4F18" w:rsidRPr="00637260">
        <w:rPr>
          <w:rStyle w:val="Tun"/>
          <w:highlight w:val="green"/>
        </w:rPr>
        <w:t>[DOPLNÍ ZHOTOVITEL]</w:t>
      </w:r>
      <w:r w:rsidRPr="00637260">
        <w:rPr>
          <w:rStyle w:val="Tun"/>
        </w:rPr>
        <w:tab/>
      </w:r>
    </w:p>
    <w:p w14:paraId="2374D4A1" w14:textId="2E4D8321" w:rsidR="00294755" w:rsidRPr="002507FA" w:rsidRDefault="00294755" w:rsidP="00637260">
      <w:pPr>
        <w:pStyle w:val="Identifikace"/>
        <w:rPr>
          <w:highlight w:val="yellow"/>
        </w:rPr>
      </w:pPr>
      <w:r w:rsidRPr="002507FA">
        <w:t>Sídlo: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2" w14:textId="64B1A3B2" w:rsidR="00294755" w:rsidRPr="002507FA" w:rsidRDefault="00294755" w:rsidP="00637260">
      <w:pPr>
        <w:pStyle w:val="Identifikace"/>
        <w:rPr>
          <w:highlight w:val="yellow"/>
        </w:rPr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3" w14:textId="0DE1DB7A" w:rsidR="00294755" w:rsidRPr="002507FA" w:rsidRDefault="00294755" w:rsidP="00637260">
      <w:pPr>
        <w:pStyle w:val="Identifikace"/>
        <w:rPr>
          <w:highlight w:val="yellow"/>
        </w:rPr>
      </w:pPr>
      <w:r w:rsidRPr="002507FA">
        <w:t>DIČ: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4" w14:textId="2CAD9BCE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t>Bankovní spojení: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5" w14:textId="1B3F086D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 w:rsidR="00C4613C">
        <w:rPr>
          <w:color w:val="000000"/>
        </w:rPr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6" w14:textId="6FB049BB" w:rsidR="00294755" w:rsidRPr="002507FA" w:rsidRDefault="00294755" w:rsidP="00637260">
      <w:pPr>
        <w:pStyle w:val="Identifikace"/>
      </w:pPr>
      <w:r w:rsidRPr="002507FA">
        <w:t xml:space="preserve">Zapsán v obchodním rejstříku vedeném </w:t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7" w14:textId="5C33083A" w:rsidR="00294755" w:rsidRPr="002507FA" w:rsidRDefault="00294755" w:rsidP="00637260">
      <w:pPr>
        <w:pStyle w:val="Identifikace"/>
      </w:pPr>
      <w:r w:rsidRPr="002507FA">
        <w:t>Zastoupen:</w:t>
      </w:r>
      <w:r w:rsidR="00C4613C">
        <w:tab/>
      </w:r>
      <w:r w:rsidR="007E4F18" w:rsidRPr="008302ED">
        <w:rPr>
          <w:highlight w:val="green"/>
        </w:rPr>
        <w:t>[DOPLNÍ ZHOTOVITEL]</w:t>
      </w:r>
    </w:p>
    <w:p w14:paraId="2374D4A8" w14:textId="2CCF6F9D" w:rsidR="00C124D0" w:rsidRPr="00061719" w:rsidRDefault="00C124D0" w:rsidP="00637260">
      <w:pPr>
        <w:pStyle w:val="Identifikace"/>
      </w:pPr>
      <w:r w:rsidRPr="00061719">
        <w:t>Adresa pro doručování písemností v listinné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9" w14:textId="2CF9AC02" w:rsidR="00C124D0" w:rsidRPr="00061719" w:rsidRDefault="00C124D0" w:rsidP="00637260">
      <w:pPr>
        <w:pStyle w:val="Identifikace"/>
      </w:pPr>
      <w:r w:rsidRPr="00061719">
        <w:t>Adresa pro doručování písemnosti v elektronické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A" w14:textId="77777777" w:rsidR="00294755" w:rsidRPr="002507FA" w:rsidRDefault="00294755" w:rsidP="008302ED">
      <w:pPr>
        <w:pStyle w:val="acnormal"/>
        <w:widowControl w:val="0"/>
        <w:spacing w:after="240"/>
        <w:jc w:val="left"/>
        <w:rPr>
          <w:rFonts w:cstheme="minorHAnsi"/>
          <w:b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Z</w:t>
      </w:r>
      <w:r w:rsidR="006D2F28" w:rsidRPr="00637260">
        <w:rPr>
          <w:rStyle w:val="Kurzvatun"/>
        </w:rPr>
        <w:t>hotovitel</w:t>
      </w:r>
      <w:r w:rsidRPr="002507FA">
        <w:rPr>
          <w:rFonts w:cstheme="minorHAnsi"/>
          <w:szCs w:val="18"/>
        </w:rPr>
        <w:t xml:space="preserve">“ na straně druhé </w:t>
      </w:r>
    </w:p>
    <w:p w14:paraId="2374D4AB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uzavřely níže uvedeného dne, měsíce a roku tuto </w:t>
      </w:r>
      <w:r w:rsidR="00BC50EA" w:rsidRPr="002507FA">
        <w:rPr>
          <w:rFonts w:cstheme="minorHAnsi"/>
          <w:szCs w:val="18"/>
        </w:rPr>
        <w:t xml:space="preserve">Rámcovou </w:t>
      </w:r>
      <w:r w:rsidR="00712561" w:rsidRPr="002507FA">
        <w:rPr>
          <w:rFonts w:cstheme="minorHAnsi"/>
          <w:szCs w:val="18"/>
        </w:rPr>
        <w:t>dohodu</w:t>
      </w:r>
    </w:p>
    <w:p w14:paraId="2374D4AC" w14:textId="77777777" w:rsidR="00F832D7" w:rsidRPr="002507FA" w:rsidRDefault="00F832D7" w:rsidP="008302ED">
      <w:pPr>
        <w:pStyle w:val="acnormal"/>
        <w:widowControl w:val="0"/>
        <w:jc w:val="left"/>
        <w:rPr>
          <w:rFonts w:cstheme="minorHAnsi"/>
          <w:szCs w:val="18"/>
        </w:rPr>
      </w:pPr>
    </w:p>
    <w:p w14:paraId="7BBAA0B4" w14:textId="70486E74" w:rsidR="005E6AD4" w:rsidRDefault="00F832D7" w:rsidP="006507C6">
      <w:r w:rsidRPr="006507C6">
        <w:rPr>
          <w:rStyle w:val="PreambuleChar"/>
        </w:rPr>
        <w:t xml:space="preserve">Tato </w:t>
      </w:r>
      <w:r w:rsidR="00BC50EA" w:rsidRPr="006507C6">
        <w:rPr>
          <w:rStyle w:val="PreambuleChar"/>
        </w:rPr>
        <w:t xml:space="preserve">Rámcová </w:t>
      </w:r>
      <w:r w:rsidRPr="006507C6">
        <w:rPr>
          <w:rStyle w:val="PreambuleChar"/>
        </w:rPr>
        <w:t xml:space="preserve">dohoda je uzavřena na základě výsledků </w:t>
      </w:r>
      <w:r w:rsidR="007A081A" w:rsidRPr="006507C6">
        <w:rPr>
          <w:rStyle w:val="PreambuleChar"/>
        </w:rPr>
        <w:t>výběrového</w:t>
      </w:r>
      <w:r w:rsidRPr="006507C6">
        <w:rPr>
          <w:rStyle w:val="PreambuleChar"/>
        </w:rPr>
        <w:t xml:space="preserve"> řízení </w:t>
      </w:r>
      <w:r w:rsidR="00161E4D" w:rsidRPr="006507C6">
        <w:rPr>
          <w:rStyle w:val="PreambuleChar"/>
        </w:rPr>
        <w:t xml:space="preserve">na uzavření </w:t>
      </w:r>
      <w:r w:rsidR="00BC50EA" w:rsidRPr="006507C6">
        <w:rPr>
          <w:rStyle w:val="PreambuleChar"/>
        </w:rPr>
        <w:t xml:space="preserve">Rámcové </w:t>
      </w:r>
      <w:r w:rsidR="00161E4D" w:rsidRPr="006507C6">
        <w:rPr>
          <w:rStyle w:val="PreambuleChar"/>
        </w:rPr>
        <w:t xml:space="preserve">dohody </w:t>
      </w:r>
      <w:r w:rsidR="008E7148" w:rsidRPr="006507C6">
        <w:rPr>
          <w:rStyle w:val="PreambuleChar"/>
        </w:rPr>
        <w:t>odpovídající veřejné</w:t>
      </w:r>
      <w:r w:rsidR="00102827" w:rsidRPr="006507C6">
        <w:rPr>
          <w:rStyle w:val="PreambuleChar"/>
        </w:rPr>
        <w:t xml:space="preserve"> </w:t>
      </w:r>
      <w:r w:rsidR="006507C6" w:rsidRPr="006507C6">
        <w:rPr>
          <w:rStyle w:val="PreambuleChar"/>
        </w:rPr>
        <w:t>p</w:t>
      </w:r>
      <w:r w:rsidR="00C31031" w:rsidRPr="006507C6">
        <w:rPr>
          <w:rStyle w:val="PreambuleChar"/>
        </w:rPr>
        <w:t xml:space="preserve">odlimitní </w:t>
      </w:r>
      <w:r w:rsidRPr="006507C6">
        <w:rPr>
          <w:rStyle w:val="PreambuleChar"/>
        </w:rPr>
        <w:t>sektorové veřejné zakáz</w:t>
      </w:r>
      <w:r w:rsidR="00161E4D" w:rsidRPr="006507C6">
        <w:rPr>
          <w:rStyle w:val="PreambuleChar"/>
        </w:rPr>
        <w:t>ce</w:t>
      </w:r>
      <w:r w:rsidR="00D45DCA" w:rsidRPr="006507C6">
        <w:rPr>
          <w:rStyle w:val="PreambuleChar"/>
        </w:rPr>
        <w:t xml:space="preserve"> veřejné zakáz</w:t>
      </w:r>
      <w:r w:rsidR="00161E4D" w:rsidRPr="006507C6">
        <w:rPr>
          <w:rStyle w:val="PreambuleChar"/>
        </w:rPr>
        <w:t>ce</w:t>
      </w:r>
      <w:r w:rsidR="00D45DCA" w:rsidRPr="006507C6">
        <w:rPr>
          <w:rStyle w:val="PreambuleChar"/>
        </w:rPr>
        <w:t xml:space="preserve"> </w:t>
      </w:r>
      <w:r w:rsidRPr="006507C6">
        <w:rPr>
          <w:rStyle w:val="PreambuleChar"/>
        </w:rPr>
        <w:t>s názvem</w:t>
      </w:r>
      <w:r w:rsidRPr="00637260">
        <w:rPr>
          <w:rStyle w:val="PreambuleChar"/>
        </w:rPr>
        <w:t xml:space="preserve"> </w:t>
      </w:r>
      <w:r w:rsidR="006507C6" w:rsidRPr="00FB3471">
        <w:rPr>
          <w:rStyle w:val="PreambuleChar"/>
        </w:rPr>
        <w:t>Zpracování PENB</w:t>
      </w:r>
      <w:r w:rsidRPr="00FB3471">
        <w:rPr>
          <w:rStyle w:val="PreambuleChar"/>
        </w:rPr>
        <w:t xml:space="preserve">, </w:t>
      </w:r>
      <w:r w:rsidR="006A0D45" w:rsidRPr="00FB3471">
        <w:rPr>
          <w:rStyle w:val="PreambuleChar"/>
        </w:rPr>
        <w:t>č.</w:t>
      </w:r>
      <w:r w:rsidR="00C31031" w:rsidRPr="00FB3471">
        <w:rPr>
          <w:rStyle w:val="PreambuleChar"/>
        </w:rPr>
        <w:t>j.</w:t>
      </w:r>
      <w:r w:rsidR="006A0D45" w:rsidRPr="00FB3471">
        <w:rPr>
          <w:rStyle w:val="PreambuleChar"/>
        </w:rPr>
        <w:t xml:space="preserve">: </w:t>
      </w:r>
      <w:r w:rsidR="00FB3471" w:rsidRPr="00FB3471">
        <w:rPr>
          <w:rStyle w:val="PreambuleChar"/>
        </w:rPr>
        <w:t>80799/2024-SŽ-GŘ-O8</w:t>
      </w:r>
      <w:r w:rsidR="003D2F85" w:rsidRPr="00FB3471">
        <w:rPr>
          <w:rStyle w:val="PreambuleChar"/>
        </w:rPr>
        <w:t xml:space="preserve"> </w:t>
      </w:r>
      <w:r w:rsidRPr="00FB3471">
        <w:rPr>
          <w:rStyle w:val="PreambuleChar"/>
        </w:rPr>
        <w:t xml:space="preserve">(dále jen </w:t>
      </w:r>
      <w:r w:rsidR="007A081A" w:rsidRPr="00FB3471">
        <w:rPr>
          <w:rStyle w:val="PreambuleChar"/>
        </w:rPr>
        <w:t>„</w:t>
      </w:r>
      <w:r w:rsidR="007A081A" w:rsidRPr="00FB3471">
        <w:rPr>
          <w:rStyle w:val="Kurzvatun"/>
        </w:rPr>
        <w:t>výběrové řízení</w:t>
      </w:r>
      <w:r w:rsidR="007A081A" w:rsidRPr="00FB3471">
        <w:rPr>
          <w:rStyle w:val="PreambuleChar"/>
        </w:rPr>
        <w:t>“</w:t>
      </w:r>
      <w:r w:rsidRPr="00FB3471">
        <w:rPr>
          <w:rStyle w:val="PreambuleChar"/>
        </w:rPr>
        <w:t>). Jednotlivá ustanovení</w:t>
      </w:r>
      <w:r w:rsidRPr="00637260">
        <w:rPr>
          <w:rStyle w:val="PreambuleChar"/>
        </w:rPr>
        <w:t xml:space="preserve"> </w:t>
      </w:r>
      <w:r w:rsidRPr="00637260">
        <w:rPr>
          <w:rStyle w:val="PreambuleChar"/>
        </w:rPr>
        <w:lastRenderedPageBreak/>
        <w:t xml:space="preserve">této </w:t>
      </w:r>
      <w:r w:rsidR="00BC50EA" w:rsidRPr="00637260">
        <w:rPr>
          <w:rStyle w:val="PreambuleChar"/>
        </w:rPr>
        <w:t xml:space="preserve">Rámcové </w:t>
      </w:r>
      <w:r w:rsidRPr="00637260">
        <w:rPr>
          <w:rStyle w:val="PreambuleChar"/>
        </w:rPr>
        <w:t xml:space="preserve">dohody tak budou vykládána v souladu se zadávacími </w:t>
      </w:r>
      <w:r w:rsidRPr="006507C6">
        <w:rPr>
          <w:rStyle w:val="PreambuleChar"/>
        </w:rPr>
        <w:t xml:space="preserve">podmínkami </w:t>
      </w:r>
      <w:r w:rsidR="007A081A" w:rsidRPr="006507C6">
        <w:rPr>
          <w:rStyle w:val="PreambuleChar"/>
        </w:rPr>
        <w:t>výběrového</w:t>
      </w:r>
      <w:r w:rsidR="00161E4D" w:rsidRPr="006507C6">
        <w:rPr>
          <w:rStyle w:val="PreambuleChar"/>
        </w:rPr>
        <w:t xml:space="preserve"> řízení na uzavření </w:t>
      </w:r>
      <w:r w:rsidR="00BC50EA" w:rsidRPr="006507C6">
        <w:rPr>
          <w:rStyle w:val="PreambuleChar"/>
        </w:rPr>
        <w:t xml:space="preserve">této Rámcové </w:t>
      </w:r>
      <w:r w:rsidR="00161E4D" w:rsidRPr="006507C6">
        <w:rPr>
          <w:rStyle w:val="PreambuleChar"/>
        </w:rPr>
        <w:t>dohody</w:t>
      </w:r>
      <w:r w:rsidRPr="006507C6">
        <w:t>.</w:t>
      </w:r>
    </w:p>
    <w:p w14:paraId="2374D4AE" w14:textId="47254451" w:rsidR="00CC5257" w:rsidRPr="002507FA" w:rsidRDefault="002507FA" w:rsidP="00EB0CF1">
      <w:pPr>
        <w:pStyle w:val="Inadpis"/>
      </w:pPr>
      <w:r w:rsidRPr="002507FA">
        <w:t>ÚČEL A PŘEDMĚT DOHODY</w:t>
      </w:r>
    </w:p>
    <w:p w14:paraId="2374D4AF" w14:textId="77777777" w:rsidR="00EA1D44" w:rsidRPr="002507FA" w:rsidRDefault="00161E4D" w:rsidP="00637260">
      <w:pPr>
        <w:pStyle w:val="1odstavec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637260">
        <w:rPr>
          <w:rStyle w:val="Kurzvatun"/>
        </w:rPr>
        <w:t>dílčí veřejné zakázky</w:t>
      </w:r>
      <w:r w:rsidRPr="002507FA">
        <w:t xml:space="preserve">“). </w:t>
      </w:r>
    </w:p>
    <w:p w14:paraId="2374D4B0" w14:textId="40E49224" w:rsidR="00CC5257" w:rsidRPr="002507FA" w:rsidRDefault="00161E4D" w:rsidP="00637260">
      <w:pPr>
        <w:pStyle w:val="1odstavec"/>
      </w:pPr>
      <w:r>
        <w:t xml:space="preserve">Předmětem dílčích veřejných zakázek bude zhotovení díla, které </w:t>
      </w:r>
      <w:r w:rsidR="00012CB4">
        <w:t xml:space="preserve">je </w:t>
      </w:r>
      <w:r w:rsidR="0038779C">
        <w:t xml:space="preserve">obecně </w:t>
      </w:r>
      <w:r w:rsidR="00102827">
        <w:t>specifikován</w:t>
      </w:r>
      <w:r>
        <w:t>o</w:t>
      </w:r>
      <w:r w:rsidR="00102827">
        <w:t xml:space="preserve"> </w:t>
      </w:r>
      <w:r w:rsidR="005E6AD4">
        <w:t>jako zpracování Průkazů energetické náročnosti budov dle zákona č. 406/2000 Sb.</w:t>
      </w:r>
      <w:r w:rsidR="00862846">
        <w:t xml:space="preserve"> (dále též jen „</w:t>
      </w:r>
      <w:r w:rsidR="00862846" w:rsidRPr="008039F6">
        <w:rPr>
          <w:b/>
          <w:i/>
        </w:rPr>
        <w:t>PENB</w:t>
      </w:r>
      <w:r w:rsidR="00862846">
        <w:t>“)</w:t>
      </w:r>
      <w:r w:rsidR="005E6AD4">
        <w:t>, ve znění pozdějších předpisů</w:t>
      </w:r>
      <w:r w:rsidR="0038779C">
        <w:t>, a bude Objednatelem konkrétně specifikováno</w:t>
      </w:r>
      <w:r w:rsidR="4D21D948">
        <w:t xml:space="preserve"> v</w:t>
      </w:r>
      <w:r w:rsidR="0038779C">
        <w:t xml:space="preserve"> dílčí smlouvě</w:t>
      </w:r>
      <w:r w:rsidR="00102827">
        <w:t>.</w:t>
      </w:r>
      <w:r w:rsidR="0038779C">
        <w:t xml:space="preserve"> </w:t>
      </w:r>
      <w:r w:rsidR="00CC5257">
        <w:t xml:space="preserve"> </w:t>
      </w:r>
    </w:p>
    <w:p w14:paraId="2374D4B1" w14:textId="77777777" w:rsidR="00CC5257" w:rsidRPr="002507FA" w:rsidRDefault="002507FA" w:rsidP="00637260">
      <w:pPr>
        <w:pStyle w:val="Inadpis"/>
      </w:pPr>
      <w:r w:rsidRPr="002507FA">
        <w:t>ZPŮSOB ZADÁVÁNÍ VEŘEJNÝCH ZAKÁZEK NA ZÁKLADĚ TÉTO RÁMCOVÉ DOHODY</w:t>
      </w:r>
    </w:p>
    <w:p w14:paraId="2374D4B2" w14:textId="77777777" w:rsidR="0038779C" w:rsidRPr="002507FA" w:rsidRDefault="0038779C" w:rsidP="00322516">
      <w:pPr>
        <w:pStyle w:val="1odstavec"/>
        <w:numPr>
          <w:ilvl w:val="1"/>
          <w:numId w:val="7"/>
        </w:numPr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637260">
        <w:rPr>
          <w:rStyle w:val="Kurzvatun"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</w:t>
      </w:r>
      <w:r w:rsidRPr="00637260">
        <w:rPr>
          <w:rStyle w:val="Kurzvatun"/>
        </w:rPr>
        <w:t>dílčí smlouva</w:t>
      </w:r>
      <w:r w:rsidRPr="002507FA">
        <w:t xml:space="preserve">“), na základě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374D4B3" w14:textId="77777777" w:rsidR="004A0D5B" w:rsidRPr="002507FA" w:rsidRDefault="00F832D7" w:rsidP="00637260">
      <w:pPr>
        <w:pStyle w:val="1odstavec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 jen „</w:t>
      </w:r>
      <w:r w:rsidR="0038779C" w:rsidRPr="00637260">
        <w:rPr>
          <w:rStyle w:val="Kurzvatun"/>
        </w:rPr>
        <w:t>objednávka</w:t>
      </w:r>
      <w:r w:rsidR="0038779C" w:rsidRPr="002507FA">
        <w:t xml:space="preserve">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emailové adresy pro zasílání veškerých písemností dle tohoto článku Rámcové dohody:</w:t>
      </w:r>
    </w:p>
    <w:p w14:paraId="2374D4B4" w14:textId="03EB31BA" w:rsidR="004A0D5B" w:rsidRPr="002507FA" w:rsidRDefault="004A0D5B" w:rsidP="00637260">
      <w:pPr>
        <w:pStyle w:val="Odstbez"/>
      </w:pPr>
      <w:r w:rsidRPr="002507FA">
        <w:t xml:space="preserve">Objednatel: </w:t>
      </w:r>
      <w:r w:rsidR="00B3777D" w:rsidRPr="00415641">
        <w:t>oprávnění zaměstnanci Správy železnic, státní organizace</w:t>
      </w:r>
    </w:p>
    <w:p w14:paraId="2374D4B5" w14:textId="0DF5C7F4" w:rsidR="00B447EA" w:rsidRPr="002507FA" w:rsidRDefault="004A0D5B" w:rsidP="00637260">
      <w:pPr>
        <w:pStyle w:val="Odstbez"/>
        <w:rPr>
          <w:rFonts w:cstheme="minorHAnsi"/>
        </w:rPr>
      </w:pPr>
      <w:r w:rsidRPr="002507FA">
        <w:t xml:space="preserve">Zhotovitel: </w:t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B6" w14:textId="70DF5BEC" w:rsidR="0038779C" w:rsidRPr="002507FA" w:rsidRDefault="0038779C" w:rsidP="00637260">
      <w:pPr>
        <w:pStyle w:val="1odstavec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2374D4B7" w14:textId="77777777" w:rsidR="0038779C" w:rsidRPr="002507FA" w:rsidRDefault="0038779C" w:rsidP="00637260">
      <w:pPr>
        <w:pStyle w:val="aodst0"/>
      </w:pPr>
      <w:r w:rsidRPr="002507FA"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2374D4B8" w14:textId="77777777" w:rsidR="0038779C" w:rsidRPr="002507FA" w:rsidRDefault="0038779C" w:rsidP="00637260">
      <w:pPr>
        <w:pStyle w:val="aodst0"/>
      </w:pPr>
      <w:r w:rsidRPr="002507FA"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2374D4B9" w14:textId="77777777" w:rsidR="0038779C" w:rsidRPr="002507FA" w:rsidRDefault="0038779C" w:rsidP="00637260">
      <w:pPr>
        <w:pStyle w:val="aodst0"/>
      </w:pPr>
      <w:r w:rsidRPr="002507FA">
        <w:t>číslo objednávky,</w:t>
      </w:r>
    </w:p>
    <w:p w14:paraId="2374D4BA" w14:textId="77777777" w:rsidR="0038779C" w:rsidRPr="002507FA" w:rsidRDefault="00E413C5" w:rsidP="00637260">
      <w:pPr>
        <w:pStyle w:val="aodst0"/>
      </w:pPr>
      <w:r w:rsidRPr="002507FA">
        <w:t xml:space="preserve">specifikaci požadovaného </w:t>
      </w:r>
      <w:r w:rsidR="00AD2EC8" w:rsidRPr="002507FA">
        <w:t>Díla</w:t>
      </w:r>
      <w:r w:rsidR="0038779C" w:rsidRPr="002507FA">
        <w:t>,</w:t>
      </w:r>
    </w:p>
    <w:p w14:paraId="2374D4BB" w14:textId="77777777" w:rsidR="00224684" w:rsidRPr="002507FA" w:rsidRDefault="00224684" w:rsidP="00637260">
      <w:pPr>
        <w:pStyle w:val="aodst0"/>
      </w:pPr>
      <w:r w:rsidRPr="002507FA">
        <w:t>kontaktní osobu Objednatele,</w:t>
      </w:r>
    </w:p>
    <w:p w14:paraId="2374D4BC" w14:textId="708F10D7" w:rsidR="0038779C" w:rsidRPr="002507FA" w:rsidRDefault="0038779C" w:rsidP="00637260">
      <w:pPr>
        <w:pStyle w:val="aodst0"/>
      </w:pPr>
      <w:r w:rsidRPr="00FB3471">
        <w:t xml:space="preserve">cenu za plnění dílčí smlouvy vypočtenou dle jednotkových cen v příloze č. </w:t>
      </w:r>
      <w:r w:rsidR="00A063F2" w:rsidRPr="00FB3471">
        <w:t>2</w:t>
      </w:r>
      <w:r w:rsidR="0085363C" w:rsidRPr="00FB3471">
        <w:t xml:space="preserve"> </w:t>
      </w:r>
      <w:r w:rsidR="00E413C5" w:rsidRPr="00FB3471">
        <w:t xml:space="preserve">této </w:t>
      </w:r>
      <w:r w:rsidR="00AD2EC8" w:rsidRPr="00FB3471">
        <w:t xml:space="preserve">Rámcové </w:t>
      </w:r>
      <w:r w:rsidR="00E413C5" w:rsidRPr="00FB3471">
        <w:t>dohody</w:t>
      </w:r>
      <w:r w:rsidRPr="00FB3471">
        <w:t xml:space="preserve">, pokud je možné s ohledem na </w:t>
      </w:r>
      <w:r w:rsidR="00E413C5" w:rsidRPr="00FB3471">
        <w:t xml:space="preserve">povahu </w:t>
      </w:r>
      <w:r w:rsidR="00AD2EC8" w:rsidRPr="00FB3471">
        <w:t xml:space="preserve">Díla </w:t>
      </w:r>
      <w:r w:rsidR="00E413C5" w:rsidRPr="00FB3471">
        <w:t xml:space="preserve">a obsah přílohy č. </w:t>
      </w:r>
      <w:r w:rsidR="00A063F2" w:rsidRPr="00FB3471">
        <w:t>2</w:t>
      </w:r>
      <w:r w:rsidR="0085363C" w:rsidRPr="00FB3471">
        <w:t xml:space="preserve"> </w:t>
      </w:r>
      <w:r w:rsidR="00E413C5" w:rsidRPr="00FB3471">
        <w:t>této</w:t>
      </w:r>
      <w:r w:rsidR="00E413C5" w:rsidRPr="007F1313">
        <w:t xml:space="preserve"> </w:t>
      </w:r>
      <w:r w:rsidR="00AD2EC8" w:rsidRPr="007F1313">
        <w:t xml:space="preserve">Rámcové </w:t>
      </w:r>
      <w:r w:rsidR="00E413C5" w:rsidRPr="007F1313">
        <w:t xml:space="preserve">dohody cenu za zhotovení </w:t>
      </w:r>
      <w:r w:rsidR="00AD2EC8" w:rsidRPr="007F1313">
        <w:t xml:space="preserve">Díla </w:t>
      </w:r>
      <w:r w:rsidR="00E413C5" w:rsidRPr="007F1313">
        <w:t xml:space="preserve">předem v </w:t>
      </w:r>
      <w:r w:rsidRPr="007F1313">
        <w:t>objednávce přesně stanovit,</w:t>
      </w:r>
    </w:p>
    <w:p w14:paraId="2374D4BD" w14:textId="77777777" w:rsidR="007C1216" w:rsidRPr="002507FA" w:rsidRDefault="007C1216" w:rsidP="00637260">
      <w:pPr>
        <w:pStyle w:val="aodst0"/>
      </w:pPr>
      <w:r w:rsidRPr="002507FA">
        <w:t>požadovaný termín zahájení prací,</w:t>
      </w:r>
    </w:p>
    <w:p w14:paraId="2374D4BE" w14:textId="77777777" w:rsidR="0038779C" w:rsidRPr="002507FA" w:rsidRDefault="0038779C" w:rsidP="00637260">
      <w:pPr>
        <w:pStyle w:val="aodst0"/>
      </w:pPr>
      <w:r w:rsidRPr="002507FA">
        <w:t xml:space="preserve">požadovaný termín </w:t>
      </w:r>
      <w:r w:rsidR="00E413C5" w:rsidRPr="002507FA">
        <w:t xml:space="preserve">dokončení a předání zhotoveného </w:t>
      </w:r>
      <w:r w:rsidR="00AD2EC8" w:rsidRPr="002507FA">
        <w:t>Díla</w:t>
      </w:r>
      <w:r w:rsidRPr="002507FA">
        <w:t>,</w:t>
      </w:r>
    </w:p>
    <w:p w14:paraId="2374D4BF" w14:textId="77777777" w:rsidR="00EA41F0" w:rsidRPr="002507FA" w:rsidRDefault="00EA41F0" w:rsidP="00637260">
      <w:pPr>
        <w:pStyle w:val="aodst0"/>
      </w:pPr>
      <w:r w:rsidRPr="002507FA">
        <w:t xml:space="preserve">místo realizace </w:t>
      </w:r>
      <w:r w:rsidR="00AD2EC8" w:rsidRPr="002507FA">
        <w:t>Díla</w:t>
      </w:r>
      <w:r w:rsidRPr="002507FA">
        <w:t>,</w:t>
      </w:r>
    </w:p>
    <w:p w14:paraId="2374D4C2" w14:textId="77777777" w:rsidR="0038779C" w:rsidRPr="002507FA" w:rsidRDefault="0038779C" w:rsidP="008039F6">
      <w:pPr>
        <w:widowControl w:val="0"/>
        <w:numPr>
          <w:ilvl w:val="0"/>
          <w:numId w:val="5"/>
        </w:numPr>
        <w:tabs>
          <w:tab w:val="left" w:pos="0"/>
        </w:tabs>
        <w:spacing w:line="360" w:lineRule="auto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případně další nezbytné údaje ohledně předmětu plnění dílčí smlouvy.</w:t>
      </w:r>
    </w:p>
    <w:p w14:paraId="2374D4C3" w14:textId="77777777" w:rsidR="00E413C5" w:rsidRPr="002507FA" w:rsidRDefault="00E413C5" w:rsidP="00637260">
      <w:pPr>
        <w:pStyle w:val="1odstavec"/>
      </w:pPr>
      <w:r w:rsidRPr="002507FA">
        <w:t xml:space="preserve">V případě pochybností či nejasností ohledně údajů uvedených v objednávce je Zhotovitel </w:t>
      </w:r>
      <w:r w:rsidR="00754A3C" w:rsidRPr="002507FA">
        <w:t>povinen</w:t>
      </w:r>
      <w:r w:rsidRPr="002507FA">
        <w:t xml:space="preserve"> vyžádat si od Objednatele ve lhůtě uvedené v následujícím odstavci této dohody doplňující informace. Objednatel poskytuje doplňující informace k objednávce vždy úpravou či </w:t>
      </w:r>
      <w:r w:rsidRPr="002507FA">
        <w:lastRenderedPageBreak/>
        <w:t>doplněním objednávky a zasláním takto upravené objednávky Zhotoviteli. Zasláním upravené objednávky Zhotoviteli je původní objednávka bez dalšího stornována a nemůže být již akceptována Zhotovitelem.</w:t>
      </w:r>
    </w:p>
    <w:p w14:paraId="2374D4C4" w14:textId="3A123FAB" w:rsidR="00D85996" w:rsidRDefault="00E413C5" w:rsidP="00637260">
      <w:pPr>
        <w:pStyle w:val="1odstavec"/>
      </w:pPr>
      <w:r w:rsidRPr="002507FA">
        <w:t xml:space="preserve">Zhotovitel je povinen na objednávku Objednatele reagovat písemně na emailovou adresu Objednatele </w:t>
      </w:r>
      <w:r w:rsidR="004A0D5B" w:rsidRPr="002507FA">
        <w:t>uvedenou v odstavci 2 tohoto článku</w:t>
      </w:r>
      <w:r w:rsidRPr="002507FA">
        <w:t xml:space="preserve"> nejpozději do </w:t>
      </w:r>
      <w:r w:rsidR="002E26EC">
        <w:t>3</w:t>
      </w:r>
      <w:r w:rsidR="002E26EC" w:rsidRPr="002507FA">
        <w:t xml:space="preserve"> </w:t>
      </w:r>
      <w:r w:rsidRPr="002507FA">
        <w:t>pracovních dní od jejího doručení</w:t>
      </w:r>
      <w:r w:rsidR="00562B90" w:rsidRPr="002507FA">
        <w:t xml:space="preserve"> anebo ve lhůtě uvedené Objednatelem v objednávce</w:t>
      </w:r>
      <w:r w:rsidRPr="002507FA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t xml:space="preserve">Rámcové </w:t>
      </w:r>
      <w:r w:rsidRPr="002507FA">
        <w:t>dohody a jejích příloh.</w:t>
      </w:r>
    </w:p>
    <w:p w14:paraId="2374D4C5" w14:textId="7997BFE8" w:rsidR="00E413C5" w:rsidRPr="006F4E79" w:rsidRDefault="00D85996" w:rsidP="00637260">
      <w:pPr>
        <w:pStyle w:val="1odstavec"/>
      </w:pPr>
      <w:r w:rsidRPr="007F1313"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</w:t>
      </w:r>
      <w:r w:rsidR="00B3777D" w:rsidRPr="007F1313">
        <w:t xml:space="preserve"> článku</w:t>
      </w:r>
      <w:r w:rsidRPr="007F1313">
        <w:t xml:space="preserve">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</w:t>
      </w:r>
      <w:r w:rsidRPr="00250227">
        <w:t xml:space="preserve">smluvní pokutu ve výši </w:t>
      </w:r>
      <w:r w:rsidR="00AB591F" w:rsidRPr="00250227">
        <w:t xml:space="preserve">5 </w:t>
      </w:r>
      <w:r w:rsidRPr="00250227">
        <w:t>% z ceny za plnění budoucí dílčí smlouvy, kterou Zhotovitel v rozporu</w:t>
      </w:r>
      <w:r w:rsidRPr="007F1313">
        <w:t xml:space="preserve"> se svou povinností po výzvě Objednatele neuzavřel. Cena za plnění budoucí dílčí smlouvy se stanoví dle článku IV. odstavce 1 této </w:t>
      </w:r>
      <w:r w:rsidR="0090001C" w:rsidRPr="007F1313">
        <w:t>R</w:t>
      </w:r>
      <w:r w:rsidRPr="007F1313">
        <w:t>ámcové dohody. Ustanovení bodu 171 obchodních podmínek se uplatní i v tomto případě.</w:t>
      </w:r>
      <w:r w:rsidR="00E413C5" w:rsidRPr="006F4E79">
        <w:t xml:space="preserve"> </w:t>
      </w:r>
    </w:p>
    <w:p w14:paraId="2374D4C6" w14:textId="77777777" w:rsidR="00CC5257" w:rsidRPr="002507FA" w:rsidRDefault="002507FA" w:rsidP="00637260">
      <w:pPr>
        <w:pStyle w:val="Inadpis"/>
      </w:pPr>
      <w:r w:rsidRPr="002507FA">
        <w:t>DOBA, MÍSTO, ZPŮSOB A LHŮTY PLNĚNÍ</w:t>
      </w:r>
    </w:p>
    <w:p w14:paraId="2374D4C7" w14:textId="6D7F0E94" w:rsidR="003276C2" w:rsidRPr="002507FA" w:rsidRDefault="003276C2" w:rsidP="008039F6">
      <w:pPr>
        <w:pStyle w:val="1odstavec"/>
        <w:numPr>
          <w:ilvl w:val="1"/>
          <w:numId w:val="29"/>
        </w:numPr>
      </w:pPr>
      <w:r w:rsidRPr="00322516">
        <w:rPr>
          <w:rFonts w:eastAsiaTheme="majorEastAsia"/>
        </w:rPr>
        <w:t xml:space="preserve">Tato </w:t>
      </w:r>
      <w:r w:rsidR="00AD2EC8" w:rsidRPr="00322516">
        <w:rPr>
          <w:rFonts w:eastAsiaTheme="majorEastAsia"/>
        </w:rPr>
        <w:t xml:space="preserve">Rámcová </w:t>
      </w:r>
      <w:r w:rsidRPr="00322516">
        <w:rPr>
          <w:rFonts w:eastAsiaTheme="majorEastAsia"/>
        </w:rPr>
        <w:t xml:space="preserve">dohoda je uzavírána </w:t>
      </w:r>
      <w:r w:rsidRPr="008039F6">
        <w:rPr>
          <w:rFonts w:eastAsiaTheme="majorEastAsia"/>
        </w:rPr>
        <w:t xml:space="preserve">na </w:t>
      </w:r>
      <w:r w:rsidR="007E084F" w:rsidRPr="008039F6">
        <w:rPr>
          <w:rFonts w:eastAsiaTheme="majorEastAsia"/>
        </w:rPr>
        <w:t xml:space="preserve">dobu </w:t>
      </w:r>
      <w:r w:rsidR="006507C6" w:rsidRPr="008039F6">
        <w:rPr>
          <w:rFonts w:eastAsiaTheme="majorEastAsia"/>
        </w:rPr>
        <w:t>48 mě</w:t>
      </w:r>
      <w:r w:rsidR="007E084F" w:rsidRPr="008039F6">
        <w:rPr>
          <w:rFonts w:eastAsiaTheme="majorEastAsia"/>
        </w:rPr>
        <w:t xml:space="preserve">síců </w:t>
      </w:r>
      <w:r w:rsidRPr="008039F6">
        <w:rPr>
          <w:rFonts w:eastAsiaTheme="majorEastAsia"/>
        </w:rPr>
        <w:t xml:space="preserve">od </w:t>
      </w:r>
      <w:r w:rsidR="007E084F" w:rsidRPr="008039F6">
        <w:rPr>
          <w:rFonts w:eastAsiaTheme="majorEastAsia"/>
        </w:rPr>
        <w:t xml:space="preserve">nabytí </w:t>
      </w:r>
      <w:r w:rsidRPr="008039F6">
        <w:rPr>
          <w:rFonts w:eastAsiaTheme="majorEastAsia"/>
        </w:rPr>
        <w:t xml:space="preserve">její </w:t>
      </w:r>
      <w:r w:rsidR="007E084F" w:rsidRPr="008039F6">
        <w:rPr>
          <w:rFonts w:eastAsiaTheme="majorEastAsia"/>
        </w:rPr>
        <w:t xml:space="preserve">účinnosti, </w:t>
      </w:r>
      <w:r w:rsidR="007E084F">
        <w:t xml:space="preserve">anebo do doby uzavření dílčí smlouvy, na základě které dojde k objednání </w:t>
      </w:r>
      <w:r w:rsidR="00BD2B95">
        <w:t>díla</w:t>
      </w:r>
      <w:r w:rsidR="007E084F">
        <w:t xml:space="preserve"> dle této </w:t>
      </w:r>
      <w:r w:rsidR="00AD2EC8">
        <w:t xml:space="preserve">Rámcové </w:t>
      </w:r>
      <w:r w:rsidR="007E084F">
        <w:t xml:space="preserve">dohody (v součtu všech dílčích smluv) v částce převyšující </w:t>
      </w:r>
      <w:r w:rsidR="003C4BF7" w:rsidRPr="00AB591F">
        <w:t>10.</w:t>
      </w:r>
      <w:r w:rsidR="56CB77F9" w:rsidRPr="00AB591F">
        <w:t>75</w:t>
      </w:r>
      <w:r w:rsidR="003C4BF7" w:rsidRPr="00AB591F">
        <w:t>0.000</w:t>
      </w:r>
      <w:r w:rsidR="007E084F" w:rsidRPr="00250227">
        <w:t>,- Kč</w:t>
      </w:r>
      <w:r w:rsidR="007E084F" w:rsidRPr="00250227">
        <w:rPr>
          <w:b/>
          <w:bCs/>
        </w:rPr>
        <w:t xml:space="preserve"> </w:t>
      </w:r>
      <w:r w:rsidR="007E084F" w:rsidRPr="00250227">
        <w:t xml:space="preserve">bez DPH. </w:t>
      </w:r>
      <w:r w:rsidR="007E084F" w:rsidRPr="00AB591F">
        <w:t>V případě</w:t>
      </w:r>
      <w:r w:rsidR="007E084F">
        <w:t xml:space="preserve">, že dojde k ukončení účinnosti této </w:t>
      </w:r>
      <w:r w:rsidR="00AD2EC8">
        <w:t xml:space="preserve">Rámcové </w:t>
      </w:r>
      <w:r w:rsidR="007E084F">
        <w:t xml:space="preserve">dohody dle předchozí věty, nemá toto ukončení vliv na účinnost dílčích smluv, které byly na základě této </w:t>
      </w:r>
      <w:r w:rsidR="00AD2EC8">
        <w:t xml:space="preserve">Rámcové </w:t>
      </w:r>
      <w:r w:rsidR="007E084F">
        <w:t xml:space="preserve">dohody uzavřeny. </w:t>
      </w:r>
      <w:r w:rsidR="00562B90">
        <w:t xml:space="preserve">Objednatel </w:t>
      </w:r>
      <w:r w:rsidR="007E084F">
        <w:t xml:space="preserve">není oprávněn na základě této </w:t>
      </w:r>
      <w:r w:rsidR="00AD2EC8">
        <w:t xml:space="preserve">Rámcové </w:t>
      </w:r>
      <w:r w:rsidR="007E084F">
        <w:t xml:space="preserve">dohody učinit objednávky (v součtu všech objednávek) přesahující částku </w:t>
      </w:r>
      <w:r w:rsidR="003C4BF7">
        <w:t>10.800.</w:t>
      </w:r>
      <w:r w:rsidR="003C4BF7" w:rsidRPr="00AB591F">
        <w:t>000</w:t>
      </w:r>
      <w:r w:rsidR="007E084F" w:rsidRPr="00250227">
        <w:t>,- Kč</w:t>
      </w:r>
      <w:r w:rsidR="007E084F" w:rsidRPr="00250227">
        <w:rPr>
          <w:b/>
          <w:bCs/>
        </w:rPr>
        <w:t xml:space="preserve"> </w:t>
      </w:r>
      <w:r w:rsidR="007E084F" w:rsidRPr="00250227">
        <w:t>bez DPH</w:t>
      </w:r>
      <w:r w:rsidRPr="00250227">
        <w:rPr>
          <w:rFonts w:eastAsiaTheme="majorEastAsia"/>
        </w:rPr>
        <w:t>.</w:t>
      </w:r>
    </w:p>
    <w:p w14:paraId="2374D4C8" w14:textId="3E5F482A" w:rsidR="00780CF7" w:rsidRPr="002507FA" w:rsidRDefault="15C4DCFD" w:rsidP="4E111F70">
      <w:pPr>
        <w:pStyle w:val="1odstavec"/>
      </w:pPr>
      <w:r>
        <w:t>Předpokládaný harmonogram objednávek je uveden v následující tabulce:</w:t>
      </w:r>
    </w:p>
    <w:tbl>
      <w:tblPr>
        <w:tblW w:w="0" w:type="auto"/>
        <w:tblInd w:w="567" w:type="dxa"/>
        <w:tblLayout w:type="fixed"/>
        <w:tblLook w:val="06A0" w:firstRow="1" w:lastRow="0" w:firstColumn="1" w:lastColumn="0" w:noHBand="1" w:noVBand="1"/>
      </w:tblPr>
      <w:tblGrid>
        <w:gridCol w:w="2583"/>
        <w:gridCol w:w="1134"/>
        <w:gridCol w:w="1134"/>
        <w:gridCol w:w="1134"/>
        <w:gridCol w:w="1134"/>
        <w:gridCol w:w="1386"/>
      </w:tblGrid>
      <w:tr w:rsidR="4E111F70" w14:paraId="789B5FCF" w14:textId="77777777" w:rsidTr="00C41CE9">
        <w:trPr>
          <w:trHeight w:val="378"/>
        </w:trPr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287CC2" w14:textId="47F53892" w:rsidR="4E111F70" w:rsidRDefault="4E111F70" w:rsidP="00890D55">
            <w:pPr>
              <w:spacing w:before="0" w:after="0" w:line="480" w:lineRule="auto"/>
              <w:ind w:left="57"/>
              <w:jc w:val="left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Typ budovy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1E4A28" w14:textId="07180411" w:rsidR="4E111F70" w:rsidRDefault="4E111F70" w:rsidP="00890D55">
            <w:pPr>
              <w:spacing w:before="0" w:after="0" w:line="480" w:lineRule="auto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2AEC11" w14:textId="4E7334CB" w:rsidR="4E111F70" w:rsidRDefault="4E111F70" w:rsidP="00890D55">
            <w:pPr>
              <w:spacing w:before="0" w:after="0" w:line="480" w:lineRule="auto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EC8978" w14:textId="31B522AB" w:rsidR="4E111F70" w:rsidRDefault="4E111F70" w:rsidP="00890D55">
            <w:pPr>
              <w:spacing w:before="0" w:after="0" w:line="480" w:lineRule="auto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3DB2DF" w14:textId="1C5A1569" w:rsidR="4E111F70" w:rsidRDefault="4E111F70" w:rsidP="00890D55">
            <w:pPr>
              <w:spacing w:before="0" w:after="0" w:line="480" w:lineRule="auto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2028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C9953D" w14:textId="77777777" w:rsidR="00C41CE9" w:rsidRDefault="4E111F70" w:rsidP="00C41CE9">
            <w:pPr>
              <w:spacing w:before="0" w:after="0" w:line="240" w:lineRule="auto"/>
              <w:ind w:left="-567"/>
              <w:jc w:val="center"/>
              <w:rPr>
                <w:rFonts w:ascii="Arial" w:eastAsia="Arial" w:hAnsi="Arial" w:cs="Arial"/>
                <w:b/>
                <w:bCs/>
                <w:szCs w:val="18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Celkový</w:t>
            </w:r>
          </w:p>
          <w:p w14:paraId="266AE998" w14:textId="68604B99" w:rsidR="4E111F70" w:rsidRDefault="4E111F70" w:rsidP="00C41CE9">
            <w:pPr>
              <w:spacing w:before="0" w:after="0" w:line="240" w:lineRule="auto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součet</w:t>
            </w:r>
          </w:p>
        </w:tc>
      </w:tr>
      <w:tr w:rsidR="4E111F70" w14:paraId="3F5D587D" w14:textId="77777777" w:rsidTr="007F1313">
        <w:trPr>
          <w:trHeight w:val="285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BCC77F" w14:textId="2BB090AB" w:rsidR="4E111F70" w:rsidRDefault="4E111F70" w:rsidP="4E111F70">
            <w:pPr>
              <w:spacing w:before="0" w:after="0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  <w:vertAlign w:val="superscript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&lt; 500 m</w:t>
            </w:r>
            <w:r w:rsidRPr="4E111F70">
              <w:rPr>
                <w:rFonts w:ascii="Arial" w:eastAsia="Arial" w:hAnsi="Arial" w:cs="Arial"/>
                <w:b/>
                <w:bCs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879DE7" w14:textId="56A92AD0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F2CE15" w14:textId="156EB266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22123B" w14:textId="44E21A32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FA50E2" w14:textId="46547873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182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72097E" w14:textId="0338E5C1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231</w:t>
            </w:r>
          </w:p>
        </w:tc>
      </w:tr>
      <w:tr w:rsidR="4E111F70" w14:paraId="2245FACB" w14:textId="77777777" w:rsidTr="007F1313">
        <w:trPr>
          <w:trHeight w:val="255"/>
        </w:trPr>
        <w:tc>
          <w:tcPr>
            <w:tcW w:w="25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405" w:type="dxa"/>
              <w:right w:w="15" w:type="dxa"/>
            </w:tcMar>
            <w:vAlign w:val="center"/>
          </w:tcPr>
          <w:p w14:paraId="094C5CFD" w14:textId="47138A35" w:rsidR="4E111F70" w:rsidRDefault="4E111F70" w:rsidP="4E111F70">
            <w:pPr>
              <w:spacing w:before="0" w:after="0"/>
              <w:ind w:left="57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administrativní budova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098A26" w14:textId="40160E3D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A870EC" w14:textId="6FCCA2B8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C098A" w14:textId="3928E009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8EA8AF" w14:textId="2D2AAAD5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AAAFB4" w14:textId="1EB0D7C3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1</w:t>
            </w:r>
          </w:p>
        </w:tc>
      </w:tr>
      <w:tr w:rsidR="4E111F70" w14:paraId="685D49EA" w14:textId="77777777" w:rsidTr="007F1313">
        <w:trPr>
          <w:trHeight w:val="255"/>
        </w:trPr>
        <w:tc>
          <w:tcPr>
            <w:tcW w:w="25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405" w:type="dxa"/>
              <w:right w:w="15" w:type="dxa"/>
            </w:tcMar>
            <w:vAlign w:val="center"/>
          </w:tcPr>
          <w:p w14:paraId="4526B01E" w14:textId="3DF85E57" w:rsidR="4E111F70" w:rsidRDefault="4E111F70" w:rsidP="4E111F70">
            <w:pPr>
              <w:spacing w:before="0" w:after="0"/>
              <w:ind w:left="57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provozní budova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CB800A" w14:textId="6A0B28D4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F96C1C" w14:textId="10380110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CF106C" w14:textId="55D5A610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1169AA" w14:textId="680B471C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9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190562" w14:textId="78A205E5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24</w:t>
            </w:r>
          </w:p>
        </w:tc>
      </w:tr>
      <w:tr w:rsidR="4E111F70" w14:paraId="13AA69B4" w14:textId="77777777" w:rsidTr="007F1313">
        <w:trPr>
          <w:trHeight w:val="255"/>
        </w:trPr>
        <w:tc>
          <w:tcPr>
            <w:tcW w:w="2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405" w:type="dxa"/>
              <w:right w:w="15" w:type="dxa"/>
            </w:tcMar>
            <w:vAlign w:val="center"/>
          </w:tcPr>
          <w:p w14:paraId="71025311" w14:textId="2B14AD56" w:rsidR="4E111F70" w:rsidRDefault="4E111F70" w:rsidP="4E111F70">
            <w:pPr>
              <w:spacing w:before="0" w:after="0"/>
              <w:ind w:left="57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výpravní budova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9C62D6" w14:textId="78664E87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C2E29B" w14:textId="35C2588A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002D50" w14:textId="2BFDF5CE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A7B9C0" w14:textId="6CE429E8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173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FF461F" w14:textId="1D5FEAD2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206</w:t>
            </w:r>
          </w:p>
        </w:tc>
      </w:tr>
      <w:tr w:rsidR="4E111F70" w14:paraId="4CAB836F" w14:textId="77777777" w:rsidTr="007F1313">
        <w:trPr>
          <w:trHeight w:val="285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6039AA" w14:textId="0E69F1AD" w:rsidR="4E111F70" w:rsidRDefault="4E111F70" w:rsidP="4E111F70">
            <w:pPr>
              <w:spacing w:before="0" w:after="0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  <w:vertAlign w:val="superscript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500 - 1000 m</w:t>
            </w:r>
            <w:r w:rsidRPr="4E111F70">
              <w:rPr>
                <w:rFonts w:ascii="Arial" w:eastAsia="Arial" w:hAnsi="Arial" w:cs="Arial"/>
                <w:b/>
                <w:bCs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6411FB" w14:textId="2CDBA6EC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0B8662" w14:textId="6AE7C092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E5A590" w14:textId="2C7E8078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2243A4" w14:textId="0EC0B594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107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54B632" w14:textId="15FC05C3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171</w:t>
            </w:r>
          </w:p>
        </w:tc>
      </w:tr>
      <w:tr w:rsidR="4E111F70" w14:paraId="2A33E7EB" w14:textId="77777777" w:rsidTr="007F1313">
        <w:trPr>
          <w:trHeight w:val="255"/>
        </w:trPr>
        <w:tc>
          <w:tcPr>
            <w:tcW w:w="25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405" w:type="dxa"/>
              <w:right w:w="15" w:type="dxa"/>
            </w:tcMar>
            <w:vAlign w:val="center"/>
          </w:tcPr>
          <w:p w14:paraId="723CDD49" w14:textId="2070A32B" w:rsidR="4E111F70" w:rsidRPr="00890D55" w:rsidRDefault="4E111F70" w:rsidP="4E111F70">
            <w:pPr>
              <w:spacing w:before="0" w:after="0"/>
              <w:ind w:left="57"/>
              <w:jc w:val="left"/>
              <w:rPr>
                <w:rFonts w:ascii="Arial" w:eastAsia="Arial" w:hAnsi="Arial" w:cs="Arial"/>
                <w:szCs w:val="18"/>
              </w:rPr>
            </w:pPr>
            <w:r w:rsidRPr="00890D55">
              <w:rPr>
                <w:rFonts w:ascii="Arial" w:eastAsia="Arial" w:hAnsi="Arial" w:cs="Arial"/>
                <w:szCs w:val="18"/>
              </w:rPr>
              <w:t>administrativní budova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CD3437" w14:textId="75879DD5" w:rsidR="4E111F70" w:rsidRPr="00890D55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Cs w:val="18"/>
              </w:rPr>
            </w:pPr>
            <w:r w:rsidRPr="00890D55">
              <w:rPr>
                <w:rFonts w:ascii="Arial" w:eastAsia="Arial" w:hAnsi="Arial" w:cs="Arial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F1FE35" w14:textId="76955C2C" w:rsidR="4E111F70" w:rsidRPr="00890D55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Cs w:val="18"/>
              </w:rPr>
            </w:pPr>
            <w:r w:rsidRPr="00890D55">
              <w:rPr>
                <w:rFonts w:ascii="Arial" w:eastAsia="Arial" w:hAnsi="Arial" w:cs="Arial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0B590E" w14:textId="6B6C220C" w:rsidR="4E111F70" w:rsidRPr="00890D55" w:rsidRDefault="4E111F70" w:rsidP="00890D55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782CEB" w14:textId="43A7C81A" w:rsidR="4E111F70" w:rsidRPr="00890D55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Cs w:val="18"/>
              </w:rPr>
            </w:pPr>
            <w:r w:rsidRPr="00890D55">
              <w:rPr>
                <w:rFonts w:ascii="Arial" w:eastAsia="Arial" w:hAnsi="Arial" w:cs="Arial"/>
                <w:szCs w:val="18"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D167B3" w14:textId="672D375B" w:rsidR="4E111F70" w:rsidRPr="00890D55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Cs w:val="18"/>
              </w:rPr>
            </w:pPr>
            <w:r w:rsidRPr="00890D55">
              <w:rPr>
                <w:rFonts w:ascii="Arial" w:eastAsia="Arial" w:hAnsi="Arial" w:cs="Arial"/>
                <w:szCs w:val="18"/>
              </w:rPr>
              <w:t>6</w:t>
            </w:r>
          </w:p>
        </w:tc>
      </w:tr>
      <w:tr w:rsidR="4E111F70" w14:paraId="006EE7CE" w14:textId="77777777" w:rsidTr="007F1313">
        <w:trPr>
          <w:trHeight w:val="255"/>
        </w:trPr>
        <w:tc>
          <w:tcPr>
            <w:tcW w:w="25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405" w:type="dxa"/>
              <w:right w:w="15" w:type="dxa"/>
            </w:tcMar>
            <w:vAlign w:val="center"/>
          </w:tcPr>
          <w:p w14:paraId="0ECA6373" w14:textId="45103C03" w:rsidR="4E111F70" w:rsidRDefault="4E111F70" w:rsidP="4E111F70">
            <w:pPr>
              <w:spacing w:before="0" w:after="0"/>
              <w:ind w:left="57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provozní budova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0F0A14" w14:textId="4F44D40D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A5B50C" w14:textId="5CAB921F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0C13B6" w14:textId="0F019819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50303A" w14:textId="23BEE356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A84DA4" w14:textId="7C80027B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12</w:t>
            </w:r>
          </w:p>
        </w:tc>
      </w:tr>
      <w:tr w:rsidR="4E111F70" w14:paraId="24FF391D" w14:textId="77777777" w:rsidTr="007F1313">
        <w:trPr>
          <w:trHeight w:val="255"/>
        </w:trPr>
        <w:tc>
          <w:tcPr>
            <w:tcW w:w="2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405" w:type="dxa"/>
              <w:right w:w="15" w:type="dxa"/>
            </w:tcMar>
            <w:vAlign w:val="center"/>
          </w:tcPr>
          <w:p w14:paraId="5F77B168" w14:textId="27308AFA" w:rsidR="4E111F70" w:rsidRDefault="4E111F70" w:rsidP="4E111F70">
            <w:pPr>
              <w:spacing w:before="0" w:after="0"/>
              <w:ind w:left="57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výpravní budova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168EE0" w14:textId="52A00F75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FB6E65" w14:textId="07999D89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AE8B79" w14:textId="2E260472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F125BA" w14:textId="206E9DB6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103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7E5A5D" w14:textId="255FA977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153</w:t>
            </w:r>
          </w:p>
        </w:tc>
      </w:tr>
      <w:tr w:rsidR="4E111F70" w14:paraId="5E0FB3F5" w14:textId="77777777" w:rsidTr="007F1313">
        <w:trPr>
          <w:trHeight w:val="285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07E9D9" w14:textId="12A1F0AF" w:rsidR="4E111F70" w:rsidRDefault="4E111F70" w:rsidP="4E111F70">
            <w:pPr>
              <w:spacing w:before="0" w:after="0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  <w:vertAlign w:val="superscript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&gt; 1000 m</w:t>
            </w:r>
            <w:r w:rsidRPr="4E111F70">
              <w:rPr>
                <w:rFonts w:ascii="Arial" w:eastAsia="Arial" w:hAnsi="Arial" w:cs="Arial"/>
                <w:b/>
                <w:bCs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2F979B" w14:textId="230EB2C6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FBE6CA" w14:textId="4BCF9A37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9D56F" w14:textId="49C8D2FB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3F9294" w14:textId="4F6B406E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63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51CBD3" w14:textId="3D01954B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szCs w:val="18"/>
              </w:rPr>
              <w:t>150</w:t>
            </w:r>
          </w:p>
        </w:tc>
      </w:tr>
      <w:tr w:rsidR="4E111F70" w14:paraId="4A6A1361" w14:textId="77777777" w:rsidTr="007F1313">
        <w:trPr>
          <w:trHeight w:val="255"/>
        </w:trPr>
        <w:tc>
          <w:tcPr>
            <w:tcW w:w="25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405" w:type="dxa"/>
              <w:right w:w="15" w:type="dxa"/>
            </w:tcMar>
            <w:vAlign w:val="center"/>
          </w:tcPr>
          <w:p w14:paraId="4DA5F093" w14:textId="43E316A2" w:rsidR="4E111F70" w:rsidRDefault="4E111F70" w:rsidP="4E111F70">
            <w:pPr>
              <w:spacing w:before="0" w:after="0"/>
              <w:ind w:left="57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administrativní budova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815292" w14:textId="0EF497E8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A6A8E7" w14:textId="32E10194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8B3FF3" w14:textId="2317F653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46C950" w14:textId="3A0D7BCD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631CD8" w14:textId="3E82EE70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13</w:t>
            </w:r>
          </w:p>
        </w:tc>
      </w:tr>
      <w:tr w:rsidR="4E111F70" w14:paraId="31F43E4B" w14:textId="77777777" w:rsidTr="007F1313">
        <w:trPr>
          <w:trHeight w:val="255"/>
        </w:trPr>
        <w:tc>
          <w:tcPr>
            <w:tcW w:w="25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405" w:type="dxa"/>
              <w:right w:w="15" w:type="dxa"/>
            </w:tcMar>
            <w:vAlign w:val="center"/>
          </w:tcPr>
          <w:p w14:paraId="0BBF9E23" w14:textId="00F7B5ED" w:rsidR="4E111F70" w:rsidRDefault="4E111F70" w:rsidP="4E111F70">
            <w:pPr>
              <w:spacing w:before="0" w:after="0"/>
              <w:ind w:left="57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provozní budova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723A02" w14:textId="2C918A48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8077E1" w14:textId="5389019F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866EC3" w14:textId="6749AF4B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FFB2E6" w14:textId="475A5BF9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8A5A17" w14:textId="275F0F43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14</w:t>
            </w:r>
          </w:p>
        </w:tc>
      </w:tr>
      <w:tr w:rsidR="4E111F70" w14:paraId="4B069D61" w14:textId="77777777" w:rsidTr="007F1313">
        <w:trPr>
          <w:trHeight w:val="255"/>
        </w:trPr>
        <w:tc>
          <w:tcPr>
            <w:tcW w:w="2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405" w:type="dxa"/>
              <w:right w:w="15" w:type="dxa"/>
            </w:tcMar>
            <w:vAlign w:val="center"/>
          </w:tcPr>
          <w:p w14:paraId="097F0291" w14:textId="507C7264" w:rsidR="4E111F70" w:rsidRDefault="4E111F70" w:rsidP="4E111F70">
            <w:pPr>
              <w:spacing w:before="0" w:after="0"/>
              <w:ind w:left="57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výpravní budova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E181B9" w14:textId="08D64F24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077E25" w14:textId="6F406AF3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A6F47B" w14:textId="2636FF77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4BD5A1" w14:textId="28CEAB2E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57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8AF658" w14:textId="08752613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szCs w:val="18"/>
              </w:rPr>
              <w:t>123</w:t>
            </w:r>
          </w:p>
        </w:tc>
      </w:tr>
      <w:tr w:rsidR="4E111F70" w14:paraId="0422C4FE" w14:textId="77777777" w:rsidTr="007F1313">
        <w:trPr>
          <w:trHeight w:val="255"/>
        </w:trPr>
        <w:tc>
          <w:tcPr>
            <w:tcW w:w="25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E6F5"/>
            <w:tcMar>
              <w:top w:w="15" w:type="dxa"/>
              <w:left w:w="15" w:type="dxa"/>
              <w:right w:w="15" w:type="dxa"/>
            </w:tcMar>
            <w:vAlign w:val="center"/>
          </w:tcPr>
          <w:p w14:paraId="12BFD9A3" w14:textId="21A5E146" w:rsidR="4E111F70" w:rsidRDefault="4E111F70" w:rsidP="4E111F70">
            <w:pPr>
              <w:spacing w:before="0" w:after="0"/>
              <w:ind w:left="57"/>
              <w:jc w:val="left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color w:val="000000" w:themeColor="text1"/>
                <w:szCs w:val="18"/>
              </w:rPr>
              <w:t>Celkový součet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E6F5"/>
            <w:tcMar>
              <w:top w:w="15" w:type="dxa"/>
              <w:left w:w="15" w:type="dxa"/>
              <w:right w:w="15" w:type="dxa"/>
            </w:tcMar>
            <w:vAlign w:val="center"/>
          </w:tcPr>
          <w:p w14:paraId="36B11C5D" w14:textId="0F1C8047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color w:val="000000" w:themeColor="text1"/>
                <w:szCs w:val="18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E6F5"/>
            <w:tcMar>
              <w:top w:w="15" w:type="dxa"/>
              <w:left w:w="15" w:type="dxa"/>
              <w:right w:w="15" w:type="dxa"/>
            </w:tcMar>
            <w:vAlign w:val="center"/>
          </w:tcPr>
          <w:p w14:paraId="66406CD4" w14:textId="02FF7DF7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color w:val="000000" w:themeColor="text1"/>
                <w:szCs w:val="18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E6F5"/>
            <w:tcMar>
              <w:top w:w="15" w:type="dxa"/>
              <w:left w:w="15" w:type="dxa"/>
              <w:right w:w="15" w:type="dxa"/>
            </w:tcMar>
            <w:vAlign w:val="center"/>
          </w:tcPr>
          <w:p w14:paraId="6B8E02BA" w14:textId="06D78B0C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color w:val="000000" w:themeColor="text1"/>
                <w:szCs w:val="18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E6F5"/>
            <w:tcMar>
              <w:top w:w="15" w:type="dxa"/>
              <w:left w:w="15" w:type="dxa"/>
              <w:right w:w="15" w:type="dxa"/>
            </w:tcMar>
            <w:vAlign w:val="center"/>
          </w:tcPr>
          <w:p w14:paraId="194FBA86" w14:textId="64B78437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color w:val="000000" w:themeColor="text1"/>
                <w:szCs w:val="18"/>
              </w:rPr>
              <w:t>352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E6F5"/>
            <w:tcMar>
              <w:top w:w="15" w:type="dxa"/>
              <w:left w:w="15" w:type="dxa"/>
              <w:right w:w="15" w:type="dxa"/>
            </w:tcMar>
            <w:vAlign w:val="center"/>
          </w:tcPr>
          <w:p w14:paraId="6991696C" w14:textId="0F0B7C2C" w:rsidR="4E111F70" w:rsidRDefault="4E111F70" w:rsidP="4E111F70">
            <w:pPr>
              <w:spacing w:before="0" w:after="0"/>
              <w:ind w:left="-567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4E111F70">
              <w:rPr>
                <w:rFonts w:ascii="Arial" w:eastAsia="Arial" w:hAnsi="Arial" w:cs="Arial"/>
                <w:b/>
                <w:bCs/>
                <w:color w:val="000000" w:themeColor="text1"/>
                <w:szCs w:val="18"/>
              </w:rPr>
              <w:t>552</w:t>
            </w:r>
          </w:p>
        </w:tc>
      </w:tr>
    </w:tbl>
    <w:p w14:paraId="676A1226" w14:textId="4F227705" w:rsidR="3DC06E7C" w:rsidRDefault="004F37BA" w:rsidP="4E111F70">
      <w:pPr>
        <w:pStyle w:val="1odstavec"/>
        <w:numPr>
          <w:ilvl w:val="0"/>
          <w:numId w:val="0"/>
        </w:numPr>
        <w:ind w:left="567"/>
      </w:pPr>
      <w:r>
        <w:lastRenderedPageBreak/>
        <w:t xml:space="preserve">Výše uvedený harmonogram </w:t>
      </w:r>
      <w:r w:rsidR="3DC06E7C">
        <w:t>není závazný</w:t>
      </w:r>
      <w:r>
        <w:t xml:space="preserve"> a je pouze ilustrativní</w:t>
      </w:r>
      <w:r w:rsidR="3DC06E7C">
        <w:t xml:space="preserve">, </w:t>
      </w:r>
      <w:r>
        <w:t> skutečný počet objednávek se od výše uvedených údajů může lišit v závislosti na skutečných potřebách Objednatele</w:t>
      </w:r>
      <w:r w:rsidR="65941F1F">
        <w:t>.</w:t>
      </w:r>
    </w:p>
    <w:p w14:paraId="2374D4C9" w14:textId="77777777" w:rsidR="00235018" w:rsidRPr="002507FA" w:rsidRDefault="009C5F7B" w:rsidP="00637260">
      <w:pPr>
        <w:pStyle w:val="1odstavec"/>
      </w:pPr>
      <w:r w:rsidRPr="007F1313">
        <w:t>Míst</w:t>
      </w:r>
      <w:r w:rsidR="0085363C" w:rsidRPr="007F1313">
        <w:t>o</w:t>
      </w:r>
      <w:r w:rsidRPr="007F1313">
        <w:t xml:space="preserve"> plnění </w:t>
      </w:r>
      <w:r w:rsidR="00EA41F0" w:rsidRPr="007F1313">
        <w:t>dílčích smluv</w:t>
      </w:r>
      <w:r w:rsidRPr="007F1313">
        <w:t xml:space="preserve"> je </w:t>
      </w:r>
      <w:r w:rsidR="00EA41F0" w:rsidRPr="007F1313">
        <w:t xml:space="preserve">zpravidla uvedeno v dílčí smlouvě. </w:t>
      </w:r>
      <w:r w:rsidR="00F93851" w:rsidRPr="007F1313">
        <w:t xml:space="preserve">Dopravu do a </w:t>
      </w:r>
      <w:r w:rsidR="002C4982" w:rsidRPr="007F1313">
        <w:t xml:space="preserve">z místa plnění zajišťuje </w:t>
      </w:r>
      <w:r w:rsidR="003276C2" w:rsidRPr="007F1313">
        <w:t>Z</w:t>
      </w:r>
      <w:r w:rsidR="006D2F28" w:rsidRPr="007F1313">
        <w:t>hotovitel</w:t>
      </w:r>
      <w:r w:rsidR="002C4982" w:rsidRPr="007F1313">
        <w:t>.</w:t>
      </w:r>
    </w:p>
    <w:p w14:paraId="2374D4CA" w14:textId="0108475C" w:rsidR="00DD2D34" w:rsidRPr="002507FA" w:rsidRDefault="006017C5" w:rsidP="00637260">
      <w:pPr>
        <w:pStyle w:val="1odstavec"/>
      </w:pPr>
      <w:r>
        <w:t>Lhůta pro provedení D</w:t>
      </w:r>
      <w:r w:rsidR="004F37BA">
        <w:t>í</w:t>
      </w:r>
      <w:r>
        <w:t xml:space="preserve">la dle dílčí smlouvy je stanovena na 30 dní, nedohodnou-li se smluvní strany jinak. </w:t>
      </w:r>
      <w:r w:rsidR="006D2F28"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>
        <w:t xml:space="preserve"> a Rámcové dohodě</w:t>
      </w:r>
      <w:r w:rsidR="00DD2D34" w:rsidRPr="002507FA">
        <w:t xml:space="preserve">. Při předávání plnění poskytne </w:t>
      </w:r>
      <w:r w:rsidR="00780CF7" w:rsidRPr="002507FA">
        <w:t>Z</w:t>
      </w:r>
      <w:r w:rsidR="006D2F28"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a v případě připomínek jej vrátit </w:t>
      </w:r>
      <w:r w:rsidR="00780CF7" w:rsidRPr="002507FA">
        <w:t>Z</w:t>
      </w:r>
      <w:r w:rsidR="006D2F28"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374D4CB" w14:textId="24E223A7" w:rsidR="00BD7195" w:rsidRDefault="006D2F28" w:rsidP="00637260">
      <w:pPr>
        <w:pStyle w:val="1odstavec"/>
      </w:pPr>
      <w:r>
        <w:t>Zhotovitel</w:t>
      </w:r>
      <w:r w:rsidR="006848CF">
        <w:t xml:space="preserve"> </w:t>
      </w:r>
      <w:r w:rsidR="00CC5257">
        <w:t xml:space="preserve">je povinen </w:t>
      </w:r>
      <w:r w:rsidR="00780CF7">
        <w:t xml:space="preserve">vyrozumět určeného zaměstnance </w:t>
      </w:r>
      <w:r w:rsidR="00DF18BB">
        <w:t>Objednatele</w:t>
      </w:r>
      <w:r w:rsidR="00780CF7">
        <w:t xml:space="preserve"> uvedeného v</w:t>
      </w:r>
      <w:r w:rsidR="0006027E">
        <w:t> dílčí smlouvě</w:t>
      </w:r>
      <w:r w:rsidR="00780CF7">
        <w:t xml:space="preserve"> </w:t>
      </w:r>
      <w:r w:rsidR="00780CF7" w:rsidRPr="00AB591F">
        <w:t>jako „kontaktní osob</w:t>
      </w:r>
      <w:r w:rsidR="0006027E" w:rsidRPr="00AB591F">
        <w:t>a</w:t>
      </w:r>
      <w:r w:rsidR="00780CF7" w:rsidRPr="00AB591F">
        <w:t>“ o datu a době dokončení a převzetí</w:t>
      </w:r>
      <w:r w:rsidR="00DD2D34" w:rsidRPr="00610518">
        <w:t xml:space="preserve"> </w:t>
      </w:r>
      <w:r w:rsidR="00780CF7" w:rsidRPr="00AB591F">
        <w:t>předmětu Díla</w:t>
      </w:r>
      <w:r w:rsidR="00CB6B7E" w:rsidRPr="00AB591F">
        <w:t xml:space="preserve"> </w:t>
      </w:r>
      <w:r w:rsidR="00780CF7" w:rsidRPr="00AB591F">
        <w:t xml:space="preserve">(v pracovní dny v čase </w:t>
      </w:r>
      <w:r w:rsidR="7DA3C3AE" w:rsidRPr="00250227">
        <w:t>8:00</w:t>
      </w:r>
      <w:r w:rsidR="00780CF7" w:rsidRPr="00250227">
        <w:t xml:space="preserve"> – </w:t>
      </w:r>
      <w:r w:rsidR="1008F2E5" w:rsidRPr="00250227">
        <w:t>14:00</w:t>
      </w:r>
      <w:r w:rsidR="00780CF7" w:rsidRPr="00250227">
        <w:t xml:space="preserve"> hod.</w:t>
      </w:r>
      <w:r w:rsidR="00780CF7" w:rsidRPr="00AB591F">
        <w:t xml:space="preserve">). </w:t>
      </w:r>
      <w:r w:rsidR="00DD2D34" w:rsidRPr="00AB591F">
        <w:t>Převzetí plnění</w:t>
      </w:r>
      <w:r w:rsidR="0040600D" w:rsidRPr="00AB591F">
        <w:t xml:space="preserve"> </w:t>
      </w:r>
      <w:r w:rsidR="00CC5257" w:rsidRPr="00610518">
        <w:t xml:space="preserve">potvrdí </w:t>
      </w:r>
      <w:r w:rsidR="00986E6F" w:rsidRPr="00AB591F">
        <w:t>Obj</w:t>
      </w:r>
      <w:r w:rsidR="00D97787" w:rsidRPr="00AB591F">
        <w:t>ednatel</w:t>
      </w:r>
      <w:r w:rsidR="00B37744" w:rsidRPr="00AB591F">
        <w:t xml:space="preserve"> </w:t>
      </w:r>
      <w:r w:rsidR="00780CF7" w:rsidRPr="00AB591F">
        <w:t>v </w:t>
      </w:r>
      <w:r w:rsidR="00780CF7" w:rsidRPr="00250227">
        <w:t>Předávacím protokolu</w:t>
      </w:r>
      <w:r w:rsidR="00CC5257" w:rsidRPr="00AB591F">
        <w:t xml:space="preserve">. Pověřený zaměstnanec </w:t>
      </w:r>
      <w:r w:rsidR="00986E6F" w:rsidRPr="00AB591F">
        <w:t>Obj</w:t>
      </w:r>
      <w:r w:rsidR="00D97787" w:rsidRPr="00AB591F">
        <w:t>ednatele</w:t>
      </w:r>
      <w:r w:rsidR="002906C0" w:rsidRPr="00610518">
        <w:t xml:space="preserve"> uvede své jméno a </w:t>
      </w:r>
      <w:r w:rsidR="00CC5257" w:rsidRPr="00AB591F">
        <w:t>podpis, v případě zjištěných nedostatků uvede i tuto skutečnost s konkrétním vymezením</w:t>
      </w:r>
      <w:r w:rsidR="00CC5257">
        <w:t xml:space="preserve"> zjištěných vad </w:t>
      </w:r>
      <w:r w:rsidR="00DD2D34">
        <w:t>předaného plnění</w:t>
      </w:r>
      <w:r w:rsidR="00CC5257">
        <w:t xml:space="preserve">. </w:t>
      </w:r>
    </w:p>
    <w:p w14:paraId="127E8A40" w14:textId="213FBF7D" w:rsidR="00862846" w:rsidRDefault="00862846" w:rsidP="00637260">
      <w:pPr>
        <w:pStyle w:val="1odstavec"/>
      </w:pPr>
      <w:r>
        <w:t xml:space="preserve">Zhotovitel je povinen provádět Dílo dle dílčích smluv pouze osobami odborně způsobilými k takovým činnostem, </w:t>
      </w:r>
      <w:r w:rsidR="00842093">
        <w:t>tj.</w:t>
      </w:r>
      <w:r>
        <w:t xml:space="preserve"> osobami, jenž jsou oprávněny k činnostem </w:t>
      </w:r>
      <w:r w:rsidR="00E97B01" w:rsidRPr="00862846">
        <w:t xml:space="preserve">dle § 10 odst. </w:t>
      </w:r>
      <w:r>
        <w:t>1 písm. b)</w:t>
      </w:r>
      <w:r w:rsidR="00E97B01" w:rsidRPr="00862846">
        <w:t xml:space="preserve"> zákona č. 406/2000 Sb., o hospodaření energií (dále jen „zákon o hospodaření energií“)</w:t>
      </w:r>
      <w:r>
        <w:t xml:space="preserve"> ke zpracování PENB a j</w:t>
      </w:r>
      <w:r w:rsidR="00842093">
        <w:t>sou držiteli</w:t>
      </w:r>
      <w:r>
        <w:t xml:space="preserve"> odpovídajícího oprávnění dle § 10 odst. 2 zákona o hospodaření energií. Zhotovitel se zavazuje na písemnou výzvu předložit Objednateli do tří pracovních dnů od doručení výzvy oprávnění dle § 10 odst. 2 zákona o hospodaření energií, ze kterých bude vyplývat splnění povinnosti Zhotovitele dle předchozí věty. Objednatel je oprávněn formou výzvy </w:t>
      </w:r>
      <w:r w:rsidR="00842093">
        <w:t>k předložení oprávnění dle § 10 odst. 2 zákona o hospodaření energií</w:t>
      </w:r>
      <w:r>
        <w:t xml:space="preserve"> ověřovat splnění povinnosti dle tohoto odstavce pro již provedené plnění i pro</w:t>
      </w:r>
      <w:r w:rsidR="00C71F62">
        <w:t xml:space="preserve"> budoucí</w:t>
      </w:r>
      <w:r>
        <w:t xml:space="preserve"> plnění</w:t>
      </w:r>
      <w:r w:rsidR="00C71F62">
        <w:t>.</w:t>
      </w:r>
    </w:p>
    <w:p w14:paraId="25A1DA21" w14:textId="3344ED70" w:rsidR="00842093" w:rsidRPr="002507FA" w:rsidRDefault="00842093" w:rsidP="00637260">
      <w:pPr>
        <w:pStyle w:val="1odstavec"/>
      </w:pPr>
      <w:r w:rsidRPr="00250227">
        <w:t>Zhotovitel se zavazuje uhradit smluvní pokutu ve výši 500 Kč za každý, byť i započatý den prodlení se splněním povinnosti předložit oprávnění dle § 10 odst. 2 zákona o hospodaření energií dle předchozího odstavce Rámcové dohody. Zhotovitel se dále zavazuje uhradit smluvní pokutu ve výši 1 000 Kč za každý případ porušení povinnosti provádět Dílo dle dílčích smluv pouze osobami odborně způsobilými k takovým činnostem. Smluvní sankce dle tohoto</w:t>
      </w:r>
      <w:r>
        <w:t xml:space="preserve"> odstavce Rámcové dohody lze v případě postupného porušení obou povinností Zhotovitele sčítat.</w:t>
      </w:r>
    </w:p>
    <w:p w14:paraId="2374D4CC" w14:textId="77777777" w:rsidR="00CC5257" w:rsidRPr="002507FA" w:rsidRDefault="002507FA" w:rsidP="00637260">
      <w:pPr>
        <w:pStyle w:val="Inadpis"/>
      </w:pPr>
      <w:r w:rsidRPr="002507FA">
        <w:t>CENA DÍLA A PLATEBNÍ PODMÍNKY</w:t>
      </w:r>
    </w:p>
    <w:p w14:paraId="2374D4CD" w14:textId="31AB9468" w:rsidR="00DC4AD5" w:rsidRPr="007A7018" w:rsidRDefault="00224684" w:rsidP="00322516">
      <w:pPr>
        <w:pStyle w:val="1odstavec"/>
        <w:numPr>
          <w:ilvl w:val="1"/>
          <w:numId w:val="8"/>
        </w:numPr>
      </w:pPr>
      <w:r w:rsidRPr="00EB0CF1"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A063F2">
        <w:t>2</w:t>
      </w:r>
      <w:r w:rsidR="00F17B92" w:rsidRPr="00EB0CF1">
        <w:t xml:space="preserve"> </w:t>
      </w:r>
      <w:r w:rsidRPr="00EB0CF1">
        <w:t xml:space="preserve">této </w:t>
      </w:r>
      <w:r w:rsidR="00AD2EC8" w:rsidRPr="00EB0CF1">
        <w:t xml:space="preserve">Rámcové </w:t>
      </w:r>
      <w:r w:rsidRPr="00EB0CF1">
        <w:t xml:space="preserve">dohody a množství skutečně realizovaných jednotkových položek v příloze č. </w:t>
      </w:r>
      <w:r w:rsidR="00A063F2">
        <w:t>2</w:t>
      </w:r>
      <w:r w:rsidR="00F17B92" w:rsidRPr="00EB0CF1">
        <w:t xml:space="preserve"> </w:t>
      </w:r>
      <w:r w:rsidRPr="00EB0CF1">
        <w:t xml:space="preserve">této </w:t>
      </w:r>
      <w:r w:rsidR="00AD2EC8" w:rsidRPr="00EB0CF1">
        <w:t xml:space="preserve">Rámcové </w:t>
      </w:r>
      <w:r w:rsidRPr="00EB0CF1">
        <w:t xml:space="preserve">dohody Zhotovitelem při zhotovení díla odsouhlasených Objednatelem na základě Zhotovitelem předloženého </w:t>
      </w:r>
      <w:r w:rsidR="00002574" w:rsidRPr="00EB0CF1">
        <w:t>Předávacího protokolu</w:t>
      </w:r>
      <w:r w:rsidRPr="00EB0CF1">
        <w:t>.</w:t>
      </w:r>
      <w:r w:rsidR="00276548" w:rsidRPr="007A7018">
        <w:t xml:space="preserve"> </w:t>
      </w:r>
    </w:p>
    <w:p w14:paraId="2374D4CE" w14:textId="24EEDE87" w:rsidR="00CC5257" w:rsidRPr="002507FA" w:rsidRDefault="00963B12" w:rsidP="00637260">
      <w:pPr>
        <w:pStyle w:val="1odstavec"/>
      </w:pPr>
      <w:r w:rsidRPr="002507FA">
        <w:t>Uvedená cena</w:t>
      </w:r>
      <w:r w:rsidR="00DC4AD5" w:rsidRPr="002507FA">
        <w:t xml:space="preserve"> </w:t>
      </w:r>
      <w:r w:rsidR="00704284" w:rsidRPr="002507FA">
        <w:t>v</w:t>
      </w:r>
      <w:r w:rsidR="00B3777D">
        <w:t> </w:t>
      </w:r>
      <w:r w:rsidR="00704284" w:rsidRPr="002507FA">
        <w:t>bodu</w:t>
      </w:r>
      <w:r w:rsidR="00B3777D">
        <w:t xml:space="preserve"> </w:t>
      </w:r>
      <w:r w:rsidR="00704284" w:rsidRPr="002507FA">
        <w:t xml:space="preserve">1 tohoto článku </w:t>
      </w:r>
      <w:r w:rsidR="00AD2EC8" w:rsidRPr="002507FA">
        <w:t xml:space="preserve">této Rámcové </w:t>
      </w:r>
      <w:r w:rsidR="00704284" w:rsidRPr="002507FA">
        <w:t xml:space="preserve">dohody </w:t>
      </w:r>
      <w:r w:rsidR="00DC4AD5" w:rsidRPr="002507FA">
        <w:t xml:space="preserve">je cenou konečnou, </w:t>
      </w:r>
      <w:r w:rsidR="00704284" w:rsidRPr="002507FA">
        <w:t xml:space="preserve">zahrnující </w:t>
      </w:r>
      <w:r w:rsidR="00DC4AD5" w:rsidRPr="002507FA">
        <w:t xml:space="preserve">veškeré související náklady </w:t>
      </w:r>
      <w:r w:rsidR="00276548" w:rsidRPr="002507FA">
        <w:t>Z</w:t>
      </w:r>
      <w:r w:rsidR="006D2F28" w:rsidRPr="002507FA">
        <w:t>hotovitel</w:t>
      </w:r>
      <w:r w:rsidRPr="002507FA">
        <w:t xml:space="preserve">e, </w:t>
      </w:r>
      <w:r w:rsidRPr="007F1313">
        <w:t>včetně nákladů na dopravu</w:t>
      </w:r>
      <w:r w:rsidRPr="001F603F">
        <w:t xml:space="preserve"> apod</w:t>
      </w:r>
      <w:r w:rsidRPr="002507FA">
        <w:t xml:space="preserve">. </w:t>
      </w:r>
      <w:r w:rsidR="006D2F28" w:rsidRPr="002507FA">
        <w:t>Zhotovitel</w:t>
      </w:r>
      <w:r w:rsidRPr="002507FA">
        <w:t xml:space="preserve"> je touto cenou vázán po dobu plnění z této </w:t>
      </w:r>
      <w:r w:rsidR="00AD2EC8" w:rsidRPr="002507FA">
        <w:t xml:space="preserve">Rámcové </w:t>
      </w:r>
      <w:r w:rsidRPr="002507FA">
        <w:t>dohody</w:t>
      </w:r>
      <w:r w:rsidR="00860ADA" w:rsidRPr="002507FA">
        <w:t>.</w:t>
      </w:r>
    </w:p>
    <w:p w14:paraId="2374D4CF" w14:textId="3EC5CD72" w:rsidR="00276548" w:rsidRPr="007A7018" w:rsidRDefault="00870DF7" w:rsidP="00637260">
      <w:pPr>
        <w:pStyle w:val="1odstavec"/>
      </w:pPr>
      <w:r w:rsidRPr="00EB0CF1">
        <w:t xml:space="preserve">Jednotkové ceny za plnění </w:t>
      </w:r>
      <w:r w:rsidR="00322F6C" w:rsidRPr="00EB0CF1">
        <w:t xml:space="preserve">Díla </w:t>
      </w:r>
      <w:r w:rsidRPr="00EB0CF1">
        <w:t>jsou sjednány smluvními stranami v</w:t>
      </w:r>
      <w:r w:rsidR="00276548" w:rsidRPr="00EB0CF1">
        <w:t xml:space="preserve"> přílo</w:t>
      </w:r>
      <w:r w:rsidRPr="00EB0CF1">
        <w:t>ze</w:t>
      </w:r>
      <w:r w:rsidR="00276548" w:rsidRPr="00EB0CF1">
        <w:t xml:space="preserve"> č</w:t>
      </w:r>
      <w:r w:rsidR="00F17B92" w:rsidRPr="00EB0CF1">
        <w:t xml:space="preserve">. </w:t>
      </w:r>
      <w:r w:rsidR="00A063F2">
        <w:t>2</w:t>
      </w:r>
      <w:r w:rsidR="00F17B92" w:rsidRPr="00EB0CF1">
        <w:t xml:space="preserve"> </w:t>
      </w:r>
      <w:r w:rsidR="00276548" w:rsidRPr="00EB0CF1">
        <w:t xml:space="preserve">této </w:t>
      </w:r>
      <w:r w:rsidR="00322F6C" w:rsidRPr="00EB0CF1">
        <w:t xml:space="preserve">Rámcové </w:t>
      </w:r>
      <w:r w:rsidR="00276548" w:rsidRPr="00EB0CF1">
        <w:t>dohody.</w:t>
      </w:r>
    </w:p>
    <w:p w14:paraId="2374D4D0" w14:textId="77777777" w:rsidR="00EF7E80" w:rsidRPr="002507FA" w:rsidRDefault="00FA2398" w:rsidP="00637260">
      <w:pPr>
        <w:pStyle w:val="1odstavec"/>
      </w:pPr>
      <w:r w:rsidRPr="00322516">
        <w:t xml:space="preserve">Faktura musí mít náležitosti daňového dokladu, její přílohou musí být stejnopis schváleného </w:t>
      </w:r>
      <w:r w:rsidR="00276548" w:rsidRPr="008039F6">
        <w:t>Předávacího protokolu</w:t>
      </w:r>
      <w:r w:rsidRPr="00322516">
        <w:t xml:space="preserve"> s potvrzením</w:t>
      </w:r>
      <w:r w:rsidRPr="002507FA">
        <w:t xml:space="preserve"> převzetí plnění bez jakýchkoliv výhrad/vad </w:t>
      </w:r>
      <w:r w:rsidR="00986E6F" w:rsidRPr="002507FA">
        <w:t>Obj</w:t>
      </w:r>
      <w:r w:rsidRPr="002507FA">
        <w:t>ednatelem</w:t>
      </w:r>
      <w:r w:rsidR="002C46D1" w:rsidRPr="002507FA">
        <w:t>. V záhlaví faktury je nutno taktéž uvést číslo objednávky</w:t>
      </w:r>
      <w:r w:rsidR="00276548" w:rsidRPr="002507FA">
        <w:t xml:space="preserve"> a této </w:t>
      </w:r>
      <w:r w:rsidR="00322F6C" w:rsidRPr="002507FA">
        <w:t xml:space="preserve">Rámcové </w:t>
      </w:r>
      <w:r w:rsidR="00276548" w:rsidRPr="002507FA">
        <w:t>dohody</w:t>
      </w:r>
      <w:r w:rsidR="002C46D1" w:rsidRPr="002507FA">
        <w:t>.</w:t>
      </w:r>
    </w:p>
    <w:p w14:paraId="2374D4D1" w14:textId="77777777" w:rsidR="008B4D9D" w:rsidRPr="007A7018" w:rsidRDefault="008B4D9D" w:rsidP="00637260">
      <w:pPr>
        <w:pStyle w:val="1odstavec"/>
      </w:pPr>
      <w:r w:rsidRPr="00EB0CF1"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77777777" w:rsidR="00CC5257" w:rsidRPr="002507FA" w:rsidRDefault="00CC5257" w:rsidP="00637260">
      <w:pPr>
        <w:pStyle w:val="1odstavec"/>
      </w:pPr>
      <w:r w:rsidRPr="002507FA">
        <w:lastRenderedPageBreak/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9B348A" w:rsidRPr="002507FA">
        <w:t>Z</w:t>
      </w:r>
      <w:r w:rsidR="006D2F28" w:rsidRPr="002507FA">
        <w:t>hotovitel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2374D4D3" w14:textId="7E3F7ED2" w:rsidR="00CC5257" w:rsidRPr="002507FA" w:rsidRDefault="002507FA" w:rsidP="00637260">
      <w:pPr>
        <w:pStyle w:val="Inadpis"/>
      </w:pPr>
      <w:r w:rsidRPr="002507FA">
        <w:t>ODPOVĚDNOST ZA VADY, JAKOST, ZÁRUKA, ODPOVĚDNOST ZA ŠKODU</w:t>
      </w:r>
      <w:r w:rsidR="00610518">
        <w:t>, pojištění</w:t>
      </w:r>
    </w:p>
    <w:p w14:paraId="2374D4D4" w14:textId="77777777" w:rsidR="000A2855" w:rsidRPr="002507FA" w:rsidRDefault="006D2F28" w:rsidP="008039F6">
      <w:pPr>
        <w:pStyle w:val="1odstavec"/>
        <w:numPr>
          <w:ilvl w:val="1"/>
          <w:numId w:val="9"/>
        </w:numPr>
      </w:pPr>
      <w:r w:rsidRPr="002507FA">
        <w:t>Zhotovitel</w:t>
      </w:r>
      <w:r w:rsidR="000A2855" w:rsidRPr="002507FA">
        <w:t xml:space="preserve"> je povinen realizovat vešker</w:t>
      </w:r>
      <w:r w:rsidR="00775184" w:rsidRPr="002507FA">
        <w:t>á</w:t>
      </w:r>
      <w:r w:rsidR="000A2855" w:rsidRPr="002507FA">
        <w:t xml:space="preserve"> plnění </w:t>
      </w:r>
      <w:r w:rsidR="00775184" w:rsidRPr="002507FA">
        <w:t xml:space="preserve">dílčích smluv uzavřených na základě této </w:t>
      </w:r>
      <w:r w:rsidR="00322F6C" w:rsidRPr="002507FA">
        <w:t xml:space="preserve">Rámcové </w:t>
      </w:r>
      <w:r w:rsidR="00775184" w:rsidRPr="002507FA">
        <w:t xml:space="preserve">dohody </w:t>
      </w:r>
      <w:r w:rsidR="000A2855" w:rsidRPr="002507FA">
        <w:t>na svůj náklad a na své nebezpečí.</w:t>
      </w:r>
    </w:p>
    <w:p w14:paraId="2374D4D6" w14:textId="77777777" w:rsidR="000A2855" w:rsidRPr="002507FA" w:rsidRDefault="000A2855" w:rsidP="00637260">
      <w:pPr>
        <w:pStyle w:val="1odstavec"/>
      </w:pPr>
      <w:r w:rsidRPr="002507FA">
        <w:t xml:space="preserve">Odpovědnost za vady, kvalitu, jakost a nároky z ní vyplývající se řídí </w:t>
      </w:r>
      <w:r w:rsidR="005D6921" w:rsidRPr="002507FA">
        <w:t xml:space="preserve">příslušnými ustanoveními </w:t>
      </w:r>
      <w:r w:rsidR="00322F6C" w:rsidRPr="002507FA">
        <w:t xml:space="preserve">Obchodních </w:t>
      </w:r>
      <w:r w:rsidR="00DE282C" w:rsidRPr="002507FA">
        <w:t xml:space="preserve">podmínek a </w:t>
      </w:r>
      <w:r w:rsidR="00322F6C" w:rsidRPr="002507FA">
        <w:t xml:space="preserve">Občanského </w:t>
      </w:r>
      <w:r w:rsidR="005D6921" w:rsidRPr="002507FA">
        <w:t>zákoníku.</w:t>
      </w:r>
    </w:p>
    <w:p w14:paraId="2374D4D7" w14:textId="77777777" w:rsidR="000A2855" w:rsidRPr="002507FA" w:rsidRDefault="000A2855" w:rsidP="00637260">
      <w:pPr>
        <w:pStyle w:val="1odstavec"/>
      </w:pPr>
      <w:r w:rsidRPr="002507FA">
        <w:t>V případě, že poskytnuté plnění nebude uskutečněno v souladu s</w:t>
      </w:r>
      <w:r w:rsidR="00DE282C" w:rsidRPr="002507FA">
        <w:t> dílčí smlouvou</w:t>
      </w:r>
      <w:r w:rsidRPr="002507FA">
        <w:t>, je </w:t>
      </w:r>
      <w:r w:rsidR="00986E6F" w:rsidRPr="002507FA">
        <w:t>Obj</w:t>
      </w:r>
      <w:r w:rsidRPr="002507FA">
        <w:t xml:space="preserve">ednatel oprávněn požádat o zjednání nápravy na náklady </w:t>
      </w:r>
      <w:r w:rsidR="004B17F3" w:rsidRPr="002507FA">
        <w:t>Z</w:t>
      </w:r>
      <w:r w:rsidR="006D2F28" w:rsidRPr="002507FA">
        <w:t>hotovitel</w:t>
      </w:r>
      <w:r w:rsidR="001937F5" w:rsidRPr="002507FA">
        <w:t>e</w:t>
      </w:r>
      <w:r w:rsidRPr="002507FA">
        <w:t xml:space="preserve">. Platba za </w:t>
      </w:r>
      <w:r w:rsidR="00DE282C" w:rsidRPr="002507FA">
        <w:t xml:space="preserve">zhotovení </w:t>
      </w:r>
      <w:r w:rsidR="00322F6C" w:rsidRPr="002507FA">
        <w:t xml:space="preserve">Díla </w:t>
      </w:r>
      <w:r w:rsidRPr="002507FA">
        <w:t>bude uskutečněna až po odstranění vad.</w:t>
      </w:r>
    </w:p>
    <w:p w14:paraId="2374D4D8" w14:textId="77777777" w:rsidR="00CD0FED" w:rsidRPr="002507FA" w:rsidRDefault="00CD0FED" w:rsidP="00637260">
      <w:pPr>
        <w:pStyle w:val="1odstavec"/>
      </w:pPr>
      <w:r w:rsidRPr="002507FA">
        <w:t>Objednatel požaduje, aby byl Zhotovitel vždy při provádění Díla pojištěn následovně:</w:t>
      </w:r>
    </w:p>
    <w:p w14:paraId="2E9FEEC4" w14:textId="674BA4C5" w:rsidR="00793D09" w:rsidRPr="002507FA" w:rsidRDefault="00CD0FED" w:rsidP="00610518">
      <w:pPr>
        <w:pStyle w:val="aodst0"/>
        <w:numPr>
          <w:ilvl w:val="0"/>
          <w:numId w:val="32"/>
        </w:numPr>
      </w:pPr>
      <w:r>
        <w:t xml:space="preserve">Pojištění odpovědnosti za škodu způsobenou Zhotovitelem při výkonu podnikatelské činnosti třetím osobám minimální výší pojistného </w:t>
      </w:r>
      <w:r w:rsidRPr="001F603F">
        <w:t xml:space="preserve">minimálně </w:t>
      </w:r>
      <w:r w:rsidR="3B9AF257" w:rsidRPr="007F1313">
        <w:t>1</w:t>
      </w:r>
      <w:r w:rsidRPr="007F1313">
        <w:t xml:space="preserve"> mil. Kč</w:t>
      </w:r>
      <w:r w:rsidRPr="001F603F">
        <w:t xml:space="preserve"> na</w:t>
      </w:r>
      <w:r>
        <w:t xml:space="preserve"> jednu pojistnou událost.</w:t>
      </w:r>
    </w:p>
    <w:p w14:paraId="2374D4DB" w14:textId="77777777" w:rsidR="00BC6123" w:rsidRPr="002507FA" w:rsidRDefault="002507FA" w:rsidP="00637260">
      <w:pPr>
        <w:pStyle w:val="Inadpis"/>
      </w:pPr>
      <w:r w:rsidRPr="002507FA">
        <w:t>DALŠÍ UJEDNÁNÍ</w:t>
      </w:r>
    </w:p>
    <w:p w14:paraId="2374D4DC" w14:textId="77777777" w:rsidR="004D47B7" w:rsidRPr="002507FA" w:rsidRDefault="00870DF7" w:rsidP="008039F6">
      <w:pPr>
        <w:pStyle w:val="1odstavec"/>
        <w:numPr>
          <w:ilvl w:val="1"/>
          <w:numId w:val="10"/>
        </w:numPr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322F6C" w:rsidRPr="002507FA">
        <w:t xml:space="preserve"> této</w:t>
      </w:r>
      <w:r w:rsidRPr="002507FA">
        <w:t xml:space="preserve"> 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r w:rsidRPr="00637260">
        <w:rPr>
          <w:rStyle w:val="Kurzvatun"/>
        </w:rPr>
        <w:t>ZRS</w:t>
      </w:r>
      <w:r w:rsidRPr="002507FA">
        <w:t xml:space="preserve">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 xml:space="preserve">dohodu za Smluvní strany souhlasí s uveřejněním svých osobních údajů, které jsou uvedeny v této 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 udělen na dobu neurčitou.</w:t>
      </w:r>
    </w:p>
    <w:p w14:paraId="2374D4DD" w14:textId="77777777" w:rsidR="00870DF7" w:rsidRPr="002507FA" w:rsidRDefault="00870DF7" w:rsidP="00637260">
      <w:pPr>
        <w:pStyle w:val="1odstavec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2374D4DF" w14:textId="77777777" w:rsidR="00870DF7" w:rsidRPr="002507FA" w:rsidRDefault="00870DF7" w:rsidP="00637260">
      <w:pPr>
        <w:pStyle w:val="1odstavec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 89/2012 Sb., občanský zákoník, ve znění pozdějších předpisů (dále jen „</w:t>
      </w:r>
      <w:r w:rsidRPr="00637260">
        <w:rPr>
          <w:rStyle w:val="Kurzvatun"/>
        </w:rPr>
        <w:t>obchodní tajemství</w:t>
      </w:r>
      <w:r w:rsidRPr="002507FA">
        <w:t>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637260">
      <w:pPr>
        <w:pStyle w:val="1odstavec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Pr="002507FA">
        <w:t xml:space="preserve">dohody nebo 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0206B8" w:rsidRPr="002507FA">
        <w:t xml:space="preserve">nebo 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pokud 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 xml:space="preserve">v důsledku takového označení byla 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 xml:space="preserve">strana neoznačí za své obchodní tajemství </w:t>
      </w:r>
      <w:r w:rsidRPr="002507FA">
        <w:lastRenderedPageBreak/>
        <w:t xml:space="preserve">před uzavřením této 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 xml:space="preserve">dohody nebo dílčí smlouvy včetně odůvodnění, proč jsou za obchodní tajemství považovány. Druhá </w:t>
      </w:r>
      <w:r w:rsidR="00937173" w:rsidRPr="002507FA">
        <w:t xml:space="preserve">Smluvní </w:t>
      </w:r>
      <w:r w:rsidRPr="002507FA"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374D4E1" w14:textId="68F8C224" w:rsidR="00002574" w:rsidRPr="002507FA" w:rsidRDefault="00002574" w:rsidP="00637260">
      <w:pPr>
        <w:pStyle w:val="1odstavec"/>
      </w:pPr>
      <w:r w:rsidRPr="002507FA">
        <w:t xml:space="preserve">Zhotovitel může při plnění dílčích smluv použít poddodavatele uvedené v příloze č. </w:t>
      </w:r>
      <w:r w:rsidR="00324F76">
        <w:t>3</w:t>
      </w:r>
      <w:r w:rsidRPr="002507FA">
        <w:t xml:space="preserve"> této </w:t>
      </w:r>
      <w:r w:rsidR="00937173" w:rsidRPr="002507FA">
        <w:t xml:space="preserve">Rámcové </w:t>
      </w:r>
      <w:r w:rsidRPr="002507FA">
        <w:t xml:space="preserve">dohody. Poddodavatele neuvedeného v příloze č. </w:t>
      </w:r>
      <w:r w:rsidR="00324F76">
        <w:t>3</w:t>
      </w:r>
      <w:r w:rsidRPr="002507FA">
        <w:t xml:space="preserve"> této </w:t>
      </w:r>
      <w:r w:rsidR="00937173" w:rsidRPr="002507FA">
        <w:t xml:space="preserve">Rámcové </w:t>
      </w:r>
      <w:r w:rsidRPr="002507FA">
        <w:t xml:space="preserve">dohody může Zhotovitel k plnění dílčí smlouvy použít pouze </w:t>
      </w:r>
      <w:r w:rsidR="006B0D7E" w:rsidRPr="002507FA">
        <w:t>za podmínek uvedených v Obchodních podmínkách.</w:t>
      </w:r>
    </w:p>
    <w:p w14:paraId="626A5D67" w14:textId="0C37D22E" w:rsidR="007A081A" w:rsidRDefault="0024350F" w:rsidP="00637260">
      <w:pPr>
        <w:pStyle w:val="Inadpis"/>
      </w:pPr>
      <w:r>
        <w:t xml:space="preserve">STŘET ZÁJMŮ, POVINNOSTI </w:t>
      </w:r>
      <w:r w:rsidR="00DC3B17">
        <w:t>ZHOTOVITELE</w:t>
      </w:r>
      <w:r>
        <w:t xml:space="preserve"> V SOUVISLOSTI S KONFLIKTEM NA UKRAJINĚ</w:t>
      </w:r>
    </w:p>
    <w:p w14:paraId="1CF9CE9F" w14:textId="3EE2C485" w:rsidR="0024350F" w:rsidRPr="00160318" w:rsidRDefault="00DC3B17" w:rsidP="008039F6">
      <w:pPr>
        <w:pStyle w:val="1odstavec"/>
        <w:numPr>
          <w:ilvl w:val="1"/>
          <w:numId w:val="11"/>
        </w:numPr>
      </w:pPr>
      <w:r>
        <w:t>Zhotovitel</w:t>
      </w:r>
      <w:r w:rsidR="0024350F" w:rsidRPr="00160318">
        <w:t xml:space="preserve"> prohlašuje, že není obchodní společností, ve které veřejný funkcionář uvedený v ust. § 2 odst. 1 písm. c) zákona č. 159/2006 Sb., o střetu zájmů, ve znění pozdějších předpisů (dále jen „</w:t>
      </w:r>
      <w:r w:rsidR="0024350F" w:rsidRPr="00637260">
        <w:rPr>
          <w:rStyle w:val="Kurzvatun"/>
        </w:rPr>
        <w:t>Zákon o střetu zájmů</w:t>
      </w:r>
      <w:r w:rsidR="0024350F" w:rsidRPr="00160318">
        <w:t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7A429FF7" w14:textId="77777777" w:rsidR="0090001C" w:rsidRDefault="00DC3B17">
      <w:pPr>
        <w:pStyle w:val="1odstavec"/>
      </w:pPr>
      <w:r>
        <w:t>Zhotovitel</w:t>
      </w:r>
      <w:r w:rsidR="0024350F" w:rsidRPr="00160318">
        <w:t xml:space="preserve"> prohlašuje, že</w:t>
      </w:r>
      <w:r w:rsidR="0090001C">
        <w:t>:</w:t>
      </w:r>
    </w:p>
    <w:p w14:paraId="1394B92B" w14:textId="7ADBAD3E" w:rsidR="0090001C" w:rsidRPr="003B16F0" w:rsidRDefault="0090001C" w:rsidP="008039F6">
      <w:pPr>
        <w:pStyle w:val="aodst0"/>
        <w:numPr>
          <w:ilvl w:val="0"/>
          <w:numId w:val="31"/>
        </w:numPr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B905321" w14:textId="77777777" w:rsidR="0090001C" w:rsidRPr="003B16F0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C6E620C" w14:textId="381DEC51" w:rsidR="0024350F" w:rsidRPr="00160318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rPr>
          <w:lang w:eastAsia="cs-CZ"/>
        </w:rPr>
        <w:fldChar w:fldCharType="begin"/>
      </w:r>
      <w:r>
        <w:instrText xml:space="preserve"> REF _Ref156822068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637260">
        <w:rPr>
          <w:rStyle w:val="Kurzvatun"/>
        </w:rPr>
        <w:t>Sankční seznamy</w:t>
      </w:r>
      <w:r w:rsidRPr="003B16F0">
        <w:t>“)</w:t>
      </w:r>
      <w:r w:rsidR="0024350F" w:rsidRPr="00160318">
        <w:t>.</w:t>
      </w:r>
    </w:p>
    <w:p w14:paraId="41B44FB5" w14:textId="6EFFB0B8" w:rsidR="0024350F" w:rsidRPr="00160318" w:rsidRDefault="0024350F" w:rsidP="00637260">
      <w:pPr>
        <w:pStyle w:val="1odstavec"/>
      </w:pPr>
      <w:r w:rsidRPr="00160318">
        <w:t xml:space="preserve">Je-li </w:t>
      </w:r>
      <w:r w:rsidR="00DC3B17">
        <w:t>Zhotovitelem</w:t>
      </w:r>
      <w:r w:rsidRPr="00160318">
        <w:t xml:space="preserve"> sdružení více osob</w:t>
      </w:r>
      <w:r w:rsidRPr="0024350F">
        <w:t>, platí podmínky dle odstavce</w:t>
      </w:r>
      <w:r>
        <w:t xml:space="preserve"> 1</w:t>
      </w:r>
      <w:r w:rsidRPr="00160318">
        <w:t xml:space="preserve"> a 2 této </w:t>
      </w:r>
      <w:r w:rsidR="00DC3B17">
        <w:t>Rámcové dohody</w:t>
      </w:r>
      <w:r w:rsidRPr="00160318">
        <w:t xml:space="preserve"> také jednotlivě pro všechny osoby v rámci </w:t>
      </w:r>
      <w:r w:rsidR="00DC3B17">
        <w:t>Zhotovitele</w:t>
      </w:r>
      <w:r w:rsidRPr="00160318">
        <w:t xml:space="preserve"> </w:t>
      </w:r>
      <w:r w:rsidR="00E87631" w:rsidRPr="00160318">
        <w:t>sdružené,</w:t>
      </w:r>
      <w:r w:rsidRPr="00160318">
        <w:t xml:space="preserve"> a to bez ohledu na právní formu tohoto sdružení.</w:t>
      </w:r>
    </w:p>
    <w:p w14:paraId="3D62BB6E" w14:textId="59978E2B" w:rsidR="0024350F" w:rsidRPr="00160318" w:rsidRDefault="0024350F" w:rsidP="00637260">
      <w:pPr>
        <w:pStyle w:val="1odstavec"/>
      </w:pPr>
      <w:r w:rsidRPr="00160318">
        <w:lastRenderedPageBreak/>
        <w:t xml:space="preserve">Přestane-li </w:t>
      </w:r>
      <w:r w:rsidR="00DC3B17">
        <w:t>Zhotovitel</w:t>
      </w:r>
      <w:r w:rsidRPr="00160318"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t>Rámcové dohody</w:t>
      </w:r>
      <w:r w:rsidRPr="00160318">
        <w:t>, oznámí tuto skutečnost bez zbytečného odkladu, nejpozději však do 3 pracovních dnů ode dne, kdy přestal splňovat výše uvedené podmínky, Objednateli.</w:t>
      </w:r>
    </w:p>
    <w:p w14:paraId="0FBD3B4A" w14:textId="3AC50FBB" w:rsidR="0024350F" w:rsidRPr="00160318" w:rsidRDefault="00DC3B17" w:rsidP="00637260">
      <w:pPr>
        <w:pStyle w:val="1odstavec"/>
      </w:pPr>
      <w:bookmarkStart w:id="0" w:name="_Ref156822068"/>
      <w:r>
        <w:t>Zhotovitel</w:t>
      </w:r>
      <w:r w:rsidR="0024350F" w:rsidRPr="00160318">
        <w:t xml:space="preserve"> se dále zavazuje postupovat při plnění </w:t>
      </w:r>
      <w:r>
        <w:t>dílčích smluv uzavřených na základě této Rámcové dohody</w:t>
      </w:r>
      <w:r w:rsidR="0024350F" w:rsidRPr="00160318">
        <w:t xml:space="preserve"> v souladu s </w:t>
      </w:r>
      <w:r w:rsidR="0090001C">
        <w:t>n</w:t>
      </w:r>
      <w:r w:rsidR="0024350F" w:rsidRPr="00160318">
        <w:t xml:space="preserve">ařízením Rady (ES) č. 765/2006 ze dne 18. května 2006 o omezujících opatřeních vzhledem k situaci v Bělorusku a k zapojení Běloruska do ruské agrese proti Ukrajině, ve znění pozdějších předpisů, </w:t>
      </w:r>
      <w:r w:rsidR="0090001C">
        <w:t>n</w:t>
      </w:r>
      <w:r w:rsidR="0090001C" w:rsidRPr="002B73F3">
        <w:rPr>
          <w:rStyle w:val="normaltextrun"/>
          <w:bdr w:val="none" w:sz="0" w:space="0" w:color="auto" w:frame="1"/>
        </w:rPr>
        <w:t>ařízení</w:t>
      </w:r>
      <w:r w:rsidR="0090001C">
        <w:rPr>
          <w:rStyle w:val="normaltextrun"/>
          <w:bdr w:val="none" w:sz="0" w:space="0" w:color="auto" w:frame="1"/>
        </w:rPr>
        <w:t>m</w:t>
      </w:r>
      <w:r w:rsidR="0090001C" w:rsidRPr="002B73F3">
        <w:rPr>
          <w:rStyle w:val="normaltextrun"/>
          <w:bdr w:val="none" w:sz="0" w:space="0" w:color="auto" w:frame="1"/>
        </w:rPr>
        <w:t xml:space="preserve"> </w:t>
      </w:r>
      <w:r w:rsidR="0090001C" w:rsidRPr="00EA0FEC">
        <w:rPr>
          <w:rStyle w:val="normaltextrun"/>
        </w:rPr>
        <w:t>Rady</w:t>
      </w:r>
      <w:r w:rsidR="0090001C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90001C">
        <w:rPr>
          <w:rStyle w:val="normaltextrun"/>
          <w:bdr w:val="none" w:sz="0" w:space="0" w:color="auto" w:frame="1"/>
        </w:rPr>
        <w:t> </w:t>
      </w:r>
      <w:r w:rsidR="0090001C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90001C">
        <w:rPr>
          <w:rStyle w:val="normaltextrun"/>
          <w:bdr w:val="none" w:sz="0" w:space="0" w:color="auto" w:frame="1"/>
        </w:rPr>
        <w:t>,</w:t>
      </w:r>
      <w:r w:rsidR="0090001C" w:rsidRPr="007A08B0">
        <w:t xml:space="preserve"> a dalších prováděcích předpisů k t</w:t>
      </w:r>
      <w:r w:rsidR="0090001C">
        <w:t>ěmto</w:t>
      </w:r>
      <w:r w:rsidR="0090001C" w:rsidRPr="007A08B0">
        <w:t xml:space="preserve"> nařízení</w:t>
      </w:r>
      <w:r w:rsidR="0090001C">
        <w:t>m</w:t>
      </w:r>
      <w:r w:rsidR="0024350F" w:rsidRPr="00160318">
        <w:t>.</w:t>
      </w:r>
      <w:bookmarkEnd w:id="0"/>
    </w:p>
    <w:p w14:paraId="69982E91" w14:textId="5ED69D9F" w:rsidR="0024350F" w:rsidRPr="00160318" w:rsidRDefault="00DC3B17" w:rsidP="00637260">
      <w:pPr>
        <w:pStyle w:val="1odstavec"/>
      </w:pPr>
      <w:r>
        <w:t>Zhotovitel</w:t>
      </w:r>
      <w:r w:rsidR="0024350F" w:rsidRPr="00160318">
        <w:t xml:space="preserve"> se dále </w:t>
      </w:r>
      <w:bookmarkStart w:id="1" w:name="_Hlk156814447"/>
      <w:r w:rsidR="0090001C" w:rsidRPr="007A08B0">
        <w:t xml:space="preserve">zavazuje, že finanční prostředky ani hospodářské zdroje, které obdrží od </w:t>
      </w:r>
      <w:r w:rsidR="0090001C">
        <w:t>Objednatele</w:t>
      </w:r>
      <w:r w:rsidR="0090001C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24350F" w:rsidRPr="00160318">
        <w:t>.</w:t>
      </w:r>
    </w:p>
    <w:p w14:paraId="6C0EA308" w14:textId="3CADF420" w:rsidR="007A081A" w:rsidRPr="00160318" w:rsidRDefault="0024350F" w:rsidP="00637260">
      <w:pPr>
        <w:pStyle w:val="1odstavec"/>
      </w:pPr>
      <w:r w:rsidRPr="00160318">
        <w:t>Ukáž</w:t>
      </w:r>
      <w:r w:rsidR="0090001C">
        <w:t>e</w:t>
      </w:r>
      <w:r w:rsidRPr="00160318">
        <w:t>-li se</w:t>
      </w:r>
      <w:r w:rsidR="0090001C">
        <w:t xml:space="preserve"> jakékoliv</w:t>
      </w:r>
      <w:r w:rsidRPr="00160318">
        <w:t xml:space="preserve"> prohláše</w:t>
      </w:r>
      <w:r w:rsidRPr="0024350F">
        <w:t xml:space="preserve">ní </w:t>
      </w:r>
      <w:r w:rsidR="00DC3B17">
        <w:t>Zhotovitele</w:t>
      </w:r>
      <w:r w:rsidRPr="0024350F">
        <w:t xml:space="preserve"> 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 jako nepravdiv</w:t>
      </w:r>
      <w:r w:rsidR="0090001C">
        <w:t>é</w:t>
      </w:r>
      <w:r w:rsidRPr="00160318">
        <w:t xml:space="preserve"> nebo poruší-li </w:t>
      </w:r>
      <w:r w:rsidR="00DC3B17">
        <w:t>Zhotovitel</w:t>
      </w:r>
      <w:r w:rsidRPr="00160318">
        <w:t xml:space="preserve"> svou ozna</w:t>
      </w:r>
      <w:r w:rsidRPr="0024350F">
        <w:t xml:space="preserve">movací povinnost </w:t>
      </w:r>
      <w:r w:rsidR="00DC3B17" w:rsidRPr="00DC3B17">
        <w:t xml:space="preserve">nebo </w:t>
      </w:r>
      <w:r w:rsidR="0090001C">
        <w:t xml:space="preserve">některou z dalších </w:t>
      </w:r>
      <w:r w:rsidR="0090001C" w:rsidRPr="00DC3B17">
        <w:t>povinnost</w:t>
      </w:r>
      <w:r w:rsidR="0090001C">
        <w:t>í</w:t>
      </w:r>
      <w:r w:rsidR="0090001C" w:rsidRPr="00DC3B17">
        <w:t xml:space="preserve"> </w:t>
      </w:r>
      <w:r w:rsidR="00DC3B17" w:rsidRPr="00DC3B17">
        <w:t xml:space="preserve">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, je Objednatel oprávněn </w:t>
      </w:r>
      <w:r w:rsidR="00BF52F3">
        <w:t>odstoupit od této</w:t>
      </w:r>
      <w:r w:rsidRPr="00160318">
        <w:t xml:space="preserve"> </w:t>
      </w:r>
      <w:r w:rsidR="00DC3B17">
        <w:t>Rámcov</w:t>
      </w:r>
      <w:r w:rsidR="00BF52F3">
        <w:t>é</w:t>
      </w:r>
      <w:r w:rsidR="00DC3B17">
        <w:t xml:space="preserve"> dohod</w:t>
      </w:r>
      <w:r w:rsidR="00BF52F3">
        <w:t>y</w:t>
      </w:r>
      <w:r w:rsidRPr="00160318">
        <w:t>.</w:t>
      </w:r>
      <w:r w:rsidR="00DC3B17">
        <w:t xml:space="preserve"> Objednatel je vedle toho oprávněn </w:t>
      </w:r>
      <w:r w:rsidR="005C6158">
        <w:t>vypovědět</w:t>
      </w:r>
      <w:r w:rsidR="00DC3B17">
        <w:t xml:space="preserve"> </w:t>
      </w:r>
      <w:r w:rsidR="005C6158">
        <w:t xml:space="preserve">jednotlivé </w:t>
      </w:r>
      <w:r w:rsidR="00DC3B17">
        <w:t>dílčí sml</w:t>
      </w:r>
      <w:r w:rsidR="005C6158">
        <w:t>ou</w:t>
      </w:r>
      <w:r w:rsidR="00DC3B17">
        <w:t>v</w:t>
      </w:r>
      <w:r w:rsidR="005C6158">
        <w:t>y</w:t>
      </w:r>
      <w:r w:rsidR="00DC3B17">
        <w:t xml:space="preserve"> uzavřen</w:t>
      </w:r>
      <w:r w:rsidR="005C6158">
        <w:t>é</w:t>
      </w:r>
      <w:r w:rsidR="00DC3B17">
        <w:t xml:space="preserve"> na </w:t>
      </w:r>
      <w:r w:rsidR="00DC3B17" w:rsidRPr="001F603F">
        <w:t>základě této Rámcové dohody</w:t>
      </w:r>
      <w:r w:rsidR="00BF52F3" w:rsidRPr="001F603F">
        <w:t>.</w:t>
      </w:r>
      <w:r w:rsidRPr="001F603F">
        <w:t xml:space="preserve"> </w:t>
      </w:r>
      <w:r w:rsidR="00DC3B17" w:rsidRPr="001F603F">
        <w:t>Zhotovitel</w:t>
      </w:r>
      <w:r w:rsidRPr="001F603F">
        <w:t xml:space="preserve"> je dále povinen zaplatit za každé jednotlivé porušení povinností dle předchozí věty smluvní pokutu ve výši </w:t>
      </w:r>
      <w:r w:rsidRPr="007F1313">
        <w:t>5</w:t>
      </w:r>
      <w:r w:rsidR="004D59D9" w:rsidRPr="007F1313">
        <w:t>00.000</w:t>
      </w:r>
      <w:r w:rsidR="00BF52F3" w:rsidRPr="007F1313">
        <w:t>,-Kč</w:t>
      </w:r>
      <w:r w:rsidRPr="007F1313">
        <w:t xml:space="preserve"> </w:t>
      </w:r>
      <w:r w:rsidR="00BF52F3" w:rsidRPr="007F1313">
        <w:t>(slovy pět set tisíc korun českých)</w:t>
      </w:r>
      <w:r w:rsidR="00BF52F3" w:rsidRPr="001F603F">
        <w:t xml:space="preserve">. </w:t>
      </w:r>
      <w:r w:rsidRPr="001F603F">
        <w:t>Ustanovení</w:t>
      </w:r>
      <w:r w:rsidRPr="00160318">
        <w:t xml:space="preserve"> </w:t>
      </w:r>
      <w:r w:rsidR="00BF52F3">
        <w:t xml:space="preserve">§ </w:t>
      </w:r>
      <w:r w:rsidRPr="00160318">
        <w:t xml:space="preserve">2050 Občanského zákoníku se </w:t>
      </w:r>
      <w:r w:rsidR="00BF52F3">
        <w:t>nepoužije</w:t>
      </w:r>
      <w:r w:rsidRPr="00160318">
        <w:t>.</w:t>
      </w:r>
    </w:p>
    <w:p w14:paraId="3FAE33A5" w14:textId="38DC2A88" w:rsidR="00F2124E" w:rsidRDefault="00F2124E">
      <w:pPr>
        <w:pStyle w:val="Inadpis"/>
      </w:pPr>
      <w:r>
        <w:t>Compliance</w:t>
      </w:r>
    </w:p>
    <w:p w14:paraId="302C3F9F" w14:textId="77777777" w:rsidR="00F2124E" w:rsidRDefault="00F2124E" w:rsidP="008039F6">
      <w:pPr>
        <w:pStyle w:val="1odstavec"/>
        <w:numPr>
          <w:ilvl w:val="1"/>
          <w:numId w:val="13"/>
        </w:numPr>
      </w:pPr>
      <w:r>
        <w:t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</w:t>
      </w:r>
    </w:p>
    <w:p w14:paraId="4521F09A" w14:textId="0F92C485" w:rsidR="00F2124E" w:rsidRDefault="00F2124E" w:rsidP="008039F6">
      <w:pPr>
        <w:pStyle w:val="1odstavec"/>
        <w:numPr>
          <w:ilvl w:val="1"/>
          <w:numId w:val="13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2F231C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31A904B5" w14:textId="78788859" w:rsidR="00F2124E" w:rsidRDefault="00F2124E" w:rsidP="008039F6">
      <w:pPr>
        <w:pStyle w:val="1odstavec"/>
        <w:numPr>
          <w:ilvl w:val="1"/>
          <w:numId w:val="13"/>
        </w:numPr>
      </w:pPr>
      <w:r>
        <w:t>Zhotovitel má výše uvedené dokumenty k dispozici na webových stránkách:</w:t>
      </w:r>
      <w:r w:rsidR="00A918B5" w:rsidRPr="00A918B5">
        <w:rPr>
          <w:highlight w:val="green"/>
        </w:rPr>
        <w:t xml:space="preserve"> </w:t>
      </w:r>
      <w:r w:rsidR="00A918B5" w:rsidRPr="00BD4E80">
        <w:rPr>
          <w:highlight w:val="green"/>
        </w:rPr>
        <w:t xml:space="preserve">[doplní Zhotovitel x nemá-li Zhotovitel výše uvedené dokumenty, celý </w:t>
      </w:r>
      <w:r w:rsidR="00F42788">
        <w:rPr>
          <w:highlight w:val="green"/>
        </w:rPr>
        <w:t>odst.</w:t>
      </w:r>
      <w:r w:rsidR="00A918B5" w:rsidRPr="00BD4E80">
        <w:rPr>
          <w:highlight w:val="green"/>
        </w:rPr>
        <w:t xml:space="preserve"> 3 odstraní]</w:t>
      </w:r>
      <w:r w:rsidR="00A918B5">
        <w:t>.</w:t>
      </w:r>
    </w:p>
    <w:p w14:paraId="2374D4E2" w14:textId="169A7CB0" w:rsidR="000A2855" w:rsidRPr="002507FA" w:rsidRDefault="002507FA" w:rsidP="00637260">
      <w:pPr>
        <w:pStyle w:val="Inadpis"/>
      </w:pPr>
      <w:r w:rsidRPr="002507FA">
        <w:t>ZÁVĚREČNÁ UJEDNÁNÍ</w:t>
      </w:r>
    </w:p>
    <w:p w14:paraId="4615D134" w14:textId="787B52C1" w:rsidR="007E4F18" w:rsidRPr="007E4F18" w:rsidRDefault="007E4F18" w:rsidP="008039F6">
      <w:pPr>
        <w:pStyle w:val="1odstavec"/>
        <w:numPr>
          <w:ilvl w:val="1"/>
          <w:numId w:val="12"/>
        </w:numPr>
      </w:pPr>
      <w:r w:rsidRPr="007E4F18">
        <w:t>Osobami oprávněnými jednat ve vztahu k této Rámcové dohodě</w:t>
      </w:r>
      <w:r w:rsidR="00B3777D">
        <w:t xml:space="preserve"> </w:t>
      </w:r>
      <w:r w:rsidRPr="007E4F18">
        <w:t>jsou:</w:t>
      </w:r>
    </w:p>
    <w:p w14:paraId="117D3AFB" w14:textId="1A840D23" w:rsidR="007E4F18" w:rsidRPr="007E4F18" w:rsidRDefault="007E4F18" w:rsidP="00637260">
      <w:pPr>
        <w:pStyle w:val="Odstbez"/>
      </w:pPr>
      <w:r w:rsidRPr="007E4F18">
        <w:t xml:space="preserve">na straně </w:t>
      </w:r>
      <w:r w:rsidR="00793D09">
        <w:t>Objednatele</w:t>
      </w:r>
      <w:r w:rsidRPr="007E4F18">
        <w:t xml:space="preserve">: </w:t>
      </w:r>
      <w:r w:rsidRPr="008302ED">
        <w:rPr>
          <w:highlight w:val="yellow"/>
        </w:rPr>
        <w:t>……………………., ……………..@............, tel.: ……………..</w:t>
      </w:r>
    </w:p>
    <w:p w14:paraId="0C4C789E" w14:textId="56F8B35B" w:rsidR="007E4F18" w:rsidRPr="007E4F18" w:rsidRDefault="007E4F18" w:rsidP="00637260">
      <w:pPr>
        <w:pStyle w:val="Odstbez"/>
      </w:pPr>
      <w:r w:rsidRPr="007E4F18">
        <w:t xml:space="preserve">na straně </w:t>
      </w:r>
      <w:r w:rsidR="00793D09">
        <w:t>Zhotovitele</w:t>
      </w:r>
      <w:r w:rsidRPr="007E4F18">
        <w:t xml:space="preserve">: </w:t>
      </w:r>
      <w:r w:rsidR="00B41AE7" w:rsidRPr="00B41AE7">
        <w:rPr>
          <w:highlight w:val="green"/>
        </w:rPr>
        <w:t>[DOPLNÍ ZHOTOVITEL</w:t>
      </w:r>
      <w:r w:rsidRPr="008302ED">
        <w:rPr>
          <w:highlight w:val="green"/>
        </w:rPr>
        <w:t>]</w:t>
      </w:r>
    </w:p>
    <w:p w14:paraId="2374D4E3" w14:textId="2D7D0BD9" w:rsidR="00870DF7" w:rsidRPr="002507FA" w:rsidRDefault="00870DF7" w:rsidP="00637260">
      <w:pPr>
        <w:pStyle w:val="1odstavec"/>
      </w:pPr>
      <w:r w:rsidRPr="002507FA">
        <w:t xml:space="preserve">Obě </w:t>
      </w:r>
      <w:r w:rsidR="00937173" w:rsidRPr="002507FA">
        <w:t xml:space="preserve">Smluvní </w:t>
      </w:r>
      <w:r w:rsidRPr="002507FA">
        <w:t>strany prohlašují, že si tuto</w:t>
      </w:r>
      <w:r w:rsidR="00937173" w:rsidRPr="002507FA">
        <w:t xml:space="preserve"> Rámcovou</w:t>
      </w:r>
      <w:r w:rsidRPr="002507FA"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t xml:space="preserve">Rámcové dohody </w:t>
      </w:r>
      <w:r w:rsidRPr="002507FA">
        <w:t xml:space="preserve">připojují pověření zástupci obou </w:t>
      </w:r>
      <w:r w:rsidR="00937173" w:rsidRPr="002507FA">
        <w:t xml:space="preserve">Smluvních </w:t>
      </w:r>
      <w:r w:rsidR="00B5765D">
        <w:t xml:space="preserve">stran své </w:t>
      </w:r>
      <w:r w:rsidRPr="002507FA">
        <w:t>podpisy.</w:t>
      </w:r>
    </w:p>
    <w:p w14:paraId="2374D4E4" w14:textId="711FEF3C" w:rsidR="00E71957" w:rsidRPr="002507FA" w:rsidRDefault="008135F0" w:rsidP="00637260">
      <w:pPr>
        <w:pStyle w:val="1odstavec"/>
      </w:pPr>
      <w:r w:rsidRPr="002507FA">
        <w:t xml:space="preserve">Tato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="007E4F18" w:rsidRPr="008D37FE">
        <w:t>uvedené v příloze č. 1 této Rámcové dohody</w:t>
      </w:r>
      <w:r w:rsidR="00E30AFD" w:rsidRPr="002507FA">
        <w:t xml:space="preserve"> </w:t>
      </w:r>
      <w:r w:rsidRPr="002507FA">
        <w:t>(dále jen „</w:t>
      </w:r>
      <w:r w:rsidRPr="00637260">
        <w:rPr>
          <w:rStyle w:val="Kurzvatun"/>
        </w:rPr>
        <w:t>Obchodní podmínky</w:t>
      </w:r>
      <w:r w:rsidRPr="002507FA">
        <w:t>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 před zněním Obchodních podmínek přednost.</w:t>
      </w:r>
    </w:p>
    <w:p w14:paraId="2374D4E5" w14:textId="78118BCF" w:rsidR="008135F0" w:rsidRPr="000177F9" w:rsidRDefault="008135F0" w:rsidP="00637260">
      <w:pPr>
        <w:pStyle w:val="1odstavec"/>
      </w:pPr>
      <w:r w:rsidRPr="002507FA">
        <w:t xml:space="preserve">Tato </w:t>
      </w:r>
      <w:r w:rsidR="00166C41" w:rsidRPr="002507FA">
        <w:t xml:space="preserve">Rámcová </w:t>
      </w:r>
      <w:r w:rsidR="00E71957" w:rsidRPr="002507FA">
        <w:t>dohoda</w:t>
      </w:r>
      <w:r w:rsidRPr="002507FA">
        <w:t xml:space="preserve"> může být měněna nebo do</w:t>
      </w:r>
      <w:r w:rsidR="00F37200" w:rsidRPr="002507FA">
        <w:t xml:space="preserve">plňována pouze formou písemných </w:t>
      </w:r>
      <w:r w:rsidRPr="002507FA">
        <w:t xml:space="preserve">vzestupně </w:t>
      </w:r>
      <w:r w:rsidRPr="002507FA">
        <w:lastRenderedPageBreak/>
        <w:t>číslovaných dodatků</w:t>
      </w:r>
      <w:r w:rsidR="00C123B0">
        <w:t xml:space="preserve"> s výjimkou přílohy č. </w:t>
      </w:r>
      <w:r w:rsidR="00324F76">
        <w:t>4</w:t>
      </w:r>
      <w:r w:rsidR="00C123B0">
        <w:t xml:space="preserve"> </w:t>
      </w:r>
      <w:r w:rsidR="0090001C">
        <w:t xml:space="preserve">Rámcové </w:t>
      </w:r>
      <w:r w:rsidR="00C123B0">
        <w:t>dohody</w:t>
      </w:r>
      <w:r w:rsidRPr="002507FA">
        <w:t>.</w:t>
      </w:r>
      <w:r w:rsidR="00C123B0">
        <w:t xml:space="preserve"> </w:t>
      </w:r>
      <w:r w:rsidR="00C123B0" w:rsidRPr="00C123B0">
        <w:t>Každá ze smluvních stran je oprávněna jednostranně změnit své oprávněné osoby</w:t>
      </w:r>
      <w:r w:rsidR="00C123B0">
        <w:t xml:space="preserve"> uvedené v příloze č. </w:t>
      </w:r>
      <w:r w:rsidR="00324F76">
        <w:t>4</w:t>
      </w:r>
      <w:r w:rsidR="00C123B0">
        <w:t xml:space="preserve"> </w:t>
      </w:r>
      <w:r w:rsidR="0090001C">
        <w:t>R</w:t>
      </w:r>
      <w:r w:rsidR="00C123B0">
        <w:t>ámcové dohody</w:t>
      </w:r>
      <w:r w:rsidR="00C123B0" w:rsidRPr="00C123B0"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90001C">
        <w:t xml:space="preserve">Rámcové </w:t>
      </w:r>
      <w:r w:rsidR="00C123B0">
        <w:t>dohody</w:t>
      </w:r>
      <w:r w:rsidR="00C123B0" w:rsidRPr="00C123B0">
        <w:t xml:space="preserve">. Nezbytnou </w:t>
      </w:r>
      <w:r w:rsidR="00C123B0" w:rsidRPr="000177F9">
        <w:t>podmínkou pro změnu oprávněné osoby, prostřednictvím které Zhotovitel v</w:t>
      </w:r>
      <w:r w:rsidR="007A081A" w:rsidRPr="000177F9">
        <w:t>e</w:t>
      </w:r>
      <w:r w:rsidR="000177F9" w:rsidRPr="000177F9">
        <w:t xml:space="preserve"> </w:t>
      </w:r>
      <w:r w:rsidR="007A081A" w:rsidRPr="000177F9">
        <w:t>výběrovém</w:t>
      </w:r>
      <w:r w:rsidR="00C123B0" w:rsidRPr="000177F9">
        <w:t xml:space="preserve"> řízení prokazoval kvalifikaci, je, že Zhotovitel jako součást svého upozornění o změně oprávněné osoby předloží pro tuto novou oprávněnou osobu originály nebo úředně ověřené kopie dokladů, jimiž v</w:t>
      </w:r>
      <w:r w:rsidR="007A081A" w:rsidRPr="000177F9">
        <w:t>e</w:t>
      </w:r>
      <w:r w:rsidR="00C123B0" w:rsidRPr="000177F9">
        <w:t xml:space="preserve"> </w:t>
      </w:r>
      <w:r w:rsidR="007A081A" w:rsidRPr="000177F9">
        <w:t>výběrovém</w:t>
      </w:r>
      <w:r w:rsidR="00C123B0" w:rsidRPr="000177F9">
        <w:t xml:space="preserve"> řízení prokazoval kvalifikaci oprávněné osoby, a to ve stejném rozsahu.</w:t>
      </w:r>
    </w:p>
    <w:p w14:paraId="2374D4E6" w14:textId="77777777" w:rsidR="000D282E" w:rsidRPr="002507FA" w:rsidRDefault="006D2F28" w:rsidP="00637260">
      <w:pPr>
        <w:pStyle w:val="1odstavec"/>
      </w:pPr>
      <w:r w:rsidRPr="002507FA">
        <w:t>Zhotovitel</w:t>
      </w:r>
      <w:r w:rsidR="008135F0" w:rsidRPr="002507FA">
        <w:t xml:space="preserve"> prohlašuje, že se zněním </w:t>
      </w:r>
      <w:r w:rsidR="00166C41" w:rsidRPr="002507FA">
        <w:t xml:space="preserve">Obchodních </w:t>
      </w:r>
      <w:r w:rsidR="008135F0" w:rsidRPr="002507FA">
        <w:t xml:space="preserve">podmínek před podpisem této </w:t>
      </w:r>
      <w:r w:rsidR="00166C41" w:rsidRPr="002507FA">
        <w:t xml:space="preserve">Rámcové </w:t>
      </w:r>
      <w:r w:rsidR="00E71957" w:rsidRPr="002507FA">
        <w:t>dohody</w:t>
      </w:r>
      <w:r w:rsidR="008135F0" w:rsidRPr="002507FA">
        <w:t xml:space="preserve"> s</w:t>
      </w:r>
      <w:r w:rsidR="00E30AFD" w:rsidRPr="002507FA">
        <w:t>eznámil v dostatečném rozsahu s</w:t>
      </w:r>
      <w:r w:rsidR="008135F0" w:rsidRPr="002507FA">
        <w:t xml:space="preserve"> veškerými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 xml:space="preserve">v poskytnutí sjednaného plnění v souladu s touto Rámcovou dohodou. </w:t>
      </w:r>
    </w:p>
    <w:p w14:paraId="2374D4E7" w14:textId="77777777" w:rsidR="008135F0" w:rsidRPr="002507FA" w:rsidRDefault="006D2F28" w:rsidP="00637260">
      <w:pPr>
        <w:pStyle w:val="1odstavec"/>
      </w:pPr>
      <w:r w:rsidRPr="002507FA">
        <w:t>Zhotovitel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>provedení Díla</w:t>
      </w:r>
      <w:r w:rsidR="005C7CE7" w:rsidRPr="002507FA">
        <w:t xml:space="preserve"> a že disponuje takovými kapacitami a odbornými znalostmi, které jsou třeba k řádnému </w:t>
      </w:r>
      <w:r w:rsidR="00523C78" w:rsidRPr="002507FA">
        <w:t xml:space="preserve">provedení </w:t>
      </w:r>
      <w:r w:rsidR="00166C41" w:rsidRPr="002507FA">
        <w:t>Díla</w:t>
      </w:r>
      <w:r w:rsidR="00235018" w:rsidRPr="002507FA">
        <w:t>.</w:t>
      </w:r>
    </w:p>
    <w:p w14:paraId="218DD3CA" w14:textId="5639D8AB" w:rsidR="00923981" w:rsidRPr="00923981" w:rsidRDefault="00923981" w:rsidP="00637260">
      <w:pPr>
        <w:pStyle w:val="1odstavec"/>
      </w:pPr>
      <w:r w:rsidRPr="00923981"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t>dvou vyhotoveních pro Objednatele a jedno obdrží Zhotovitel</w:t>
      </w:r>
      <w:r w:rsidRPr="00923981">
        <w:t>.</w:t>
      </w:r>
    </w:p>
    <w:p w14:paraId="2374D4E9" w14:textId="3C5F4F63" w:rsidR="008135F0" w:rsidRPr="002507FA" w:rsidRDefault="008135F0" w:rsidP="00637260">
      <w:pPr>
        <w:pStyle w:val="1odstavec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 xml:space="preserve">se 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374D4EA" w14:textId="77777777" w:rsidR="00650C78" w:rsidRPr="002507FA" w:rsidRDefault="00650C78" w:rsidP="00637260">
      <w:pPr>
        <w:pStyle w:val="1odstavec"/>
      </w:pPr>
      <w:r w:rsidRPr="002507FA"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936EB1" w:rsidRDefault="00F37200" w:rsidP="00637260">
      <w:pPr>
        <w:pStyle w:val="1odstavec"/>
      </w:pPr>
      <w:r w:rsidRPr="002507FA">
        <w:t> </w:t>
      </w:r>
      <w:r w:rsidR="000770E5"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E47AA7" w:rsidRPr="002507FA">
        <w:t>Díla</w:t>
      </w:r>
      <w:r w:rsidR="00E30AFD" w:rsidRPr="002507FA">
        <w:t xml:space="preserve"> objektivně a zcela zřejmě použít, pak z takových ustanovení nebo jejich částí práva ani </w:t>
      </w:r>
      <w:r w:rsidR="00E30AFD" w:rsidRPr="00936EB1">
        <w:t>povinnosti smluvním stranám nevznikají</w:t>
      </w:r>
      <w:r w:rsidR="000770E5" w:rsidRPr="00936EB1">
        <w:t>.</w:t>
      </w:r>
    </w:p>
    <w:p w14:paraId="2374D4ED" w14:textId="77777777" w:rsidR="000770E5" w:rsidRPr="002507FA" w:rsidRDefault="000770E5" w:rsidP="00637260">
      <w:pPr>
        <w:pStyle w:val="1odstavec"/>
      </w:pPr>
      <w:r w:rsidRPr="00936EB1">
        <w:t xml:space="preserve">Tato </w:t>
      </w:r>
      <w:r w:rsidR="00CF1DB7" w:rsidRPr="00936EB1">
        <w:t xml:space="preserve">Rámcová </w:t>
      </w:r>
      <w:r w:rsidRPr="00936EB1">
        <w:t xml:space="preserve">dohoda nabývá platnosti okamžikem jejího podpisu poslední ze </w:t>
      </w:r>
      <w:r w:rsidR="00CF1DB7" w:rsidRPr="00936EB1">
        <w:t xml:space="preserve">Smluvních </w:t>
      </w:r>
      <w:r w:rsidRPr="00936EB1">
        <w:t xml:space="preserve">stran. Je-li </w:t>
      </w:r>
      <w:r w:rsidR="00CF1DB7" w:rsidRPr="00936EB1">
        <w:t xml:space="preserve">tato Rámcová </w:t>
      </w:r>
      <w:r w:rsidRPr="00936EB1">
        <w:t>dohoda</w:t>
      </w:r>
      <w:r w:rsidRPr="002507FA">
        <w:t xml:space="preserve"> uveřejňována v registru smluv, nabývá účinnosti dnem uveřejnění v registru smluv, jinak je účinná od okamžiku uzavření.</w:t>
      </w:r>
    </w:p>
    <w:p w14:paraId="2374D4EF" w14:textId="2F757071" w:rsidR="00991A59" w:rsidRPr="002507FA" w:rsidRDefault="00A02B02" w:rsidP="00FB3471">
      <w:pPr>
        <w:pStyle w:val="Plohynadpis"/>
        <w:spacing w:before="240"/>
      </w:pPr>
      <w:r w:rsidRPr="002507FA">
        <w:t>Přílohy</w:t>
      </w:r>
      <w:r w:rsidR="000770E5" w:rsidRPr="002507FA">
        <w:t xml:space="preserve"> tvořící nedílnou součást této </w:t>
      </w:r>
      <w:r w:rsidR="0090001C">
        <w:t>R</w:t>
      </w:r>
      <w:r w:rsidR="000770E5" w:rsidRPr="002507FA">
        <w:t>ámcové dohody</w:t>
      </w:r>
      <w:r w:rsidRPr="002507FA">
        <w:t>:</w:t>
      </w:r>
    </w:p>
    <w:p w14:paraId="2374D4F0" w14:textId="77777777" w:rsidR="007A2C38" w:rsidRPr="002507FA" w:rsidRDefault="007A2C38" w:rsidP="00637260">
      <w:pPr>
        <w:pStyle w:val="plohy"/>
      </w:pPr>
      <w:r w:rsidRPr="002507FA">
        <w:t>Příloha č. 1 – Obchodní podmínky</w:t>
      </w:r>
    </w:p>
    <w:p w14:paraId="2374D4F2" w14:textId="30DE00E9" w:rsidR="00F06B6C" w:rsidRPr="002507FA" w:rsidRDefault="00F06B6C" w:rsidP="00637260">
      <w:pPr>
        <w:pStyle w:val="plohy"/>
      </w:pPr>
      <w:r w:rsidRPr="00383345">
        <w:t xml:space="preserve">Příloha č. </w:t>
      </w:r>
      <w:r w:rsidR="00A063F2" w:rsidRPr="00383345">
        <w:t>2</w:t>
      </w:r>
      <w:r w:rsidRPr="00383345">
        <w:t xml:space="preserve"> – Jednotkový ceník činností prováděných Zhotovitelem při realizaci díla</w:t>
      </w:r>
    </w:p>
    <w:p w14:paraId="2374D4F3" w14:textId="61C35ABF" w:rsidR="00002574" w:rsidRPr="002507FA" w:rsidRDefault="00002574" w:rsidP="00637260">
      <w:pPr>
        <w:pStyle w:val="plohy"/>
      </w:pPr>
      <w:r w:rsidRPr="002507FA">
        <w:t xml:space="preserve">Příloha č. </w:t>
      </w:r>
      <w:r w:rsidR="00324F76">
        <w:t>3</w:t>
      </w:r>
      <w:r w:rsidRPr="002507FA">
        <w:t xml:space="preserve"> – Seznam poddodavatelů</w:t>
      </w:r>
    </w:p>
    <w:p w14:paraId="2374D4F4" w14:textId="4652D028" w:rsidR="0090270E" w:rsidRPr="002507FA" w:rsidRDefault="0090270E" w:rsidP="00637260">
      <w:pPr>
        <w:pStyle w:val="plohy"/>
      </w:pPr>
      <w:r w:rsidRPr="002507FA">
        <w:t xml:space="preserve">Příloha č. </w:t>
      </w:r>
      <w:r w:rsidR="00324F76">
        <w:t>4</w:t>
      </w:r>
      <w:r w:rsidRPr="002507FA">
        <w:t xml:space="preserve"> - Oprávněné osoby</w:t>
      </w:r>
      <w:r w:rsidR="004E2646">
        <w:t xml:space="preserve"> </w:t>
      </w:r>
    </w:p>
    <w:p w14:paraId="226EFADE" w14:textId="4D86C199" w:rsidR="00B41AE7" w:rsidRPr="008B5521" w:rsidRDefault="00B41AE7" w:rsidP="00637260">
      <w:pPr>
        <w:pStyle w:val="ZaObjednateleZhotovitele"/>
      </w:pPr>
      <w:r>
        <w:t>Za Objednatele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>Za Zhotovitele</w:t>
      </w:r>
      <w:r w:rsidRPr="008B5521">
        <w:t xml:space="preserve">:        </w:t>
      </w:r>
    </w:p>
    <w:p w14:paraId="2374D53F" w14:textId="0CC3458B" w:rsidR="0090270E" w:rsidRPr="00E746F8" w:rsidRDefault="00B41AE7" w:rsidP="1AE626F5">
      <w:pPr>
        <w:pStyle w:val="Podpisovoprvnn"/>
        <w:rPr>
          <w:rStyle w:val="Tun"/>
        </w:rPr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DC4371">
        <w:rPr>
          <w:rStyle w:val="Tun"/>
        </w:rPr>
        <w:t>Bc. Jiří Svoboda, MBA</w:t>
      </w:r>
      <w:r>
        <w:tab/>
      </w:r>
      <w:r>
        <w:tab/>
      </w:r>
      <w:r>
        <w:tab/>
      </w:r>
      <w:r>
        <w:tab/>
      </w:r>
      <w:r w:rsidRPr="00637260">
        <w:rPr>
          <w:rStyle w:val="Tun"/>
          <w:highlight w:val="green"/>
        </w:rPr>
        <w:t>[DOPLNÍ</w:t>
      </w:r>
      <w:r w:rsidR="00C4613C" w:rsidRPr="00637260">
        <w:rPr>
          <w:rStyle w:val="Tun"/>
          <w:highlight w:val="green"/>
        </w:rPr>
        <w:t xml:space="preserve"> </w:t>
      </w:r>
      <w:r w:rsidRPr="00637260">
        <w:rPr>
          <w:rStyle w:val="Tun"/>
          <w:highlight w:val="green"/>
        </w:rPr>
        <w:t>ZHOTOVITEL]</w:t>
      </w:r>
      <w:r>
        <w:br/>
      </w:r>
      <w:r w:rsidR="00DC4371">
        <w:rPr>
          <w:rStyle w:val="Tun"/>
        </w:rPr>
        <w:t>generální ředitel</w:t>
      </w:r>
    </w:p>
    <w:sectPr w:rsidR="0090270E" w:rsidRPr="00E746F8" w:rsidSect="00637260">
      <w:footerReference w:type="default" r:id="rId12"/>
      <w:headerReference w:type="first" r:id="rId13"/>
      <w:footerReference w:type="first" r:id="rId14"/>
      <w:pgSz w:w="11906" w:h="16838"/>
      <w:pgMar w:top="1985" w:right="1417" w:bottom="1417" w:left="1417" w:header="1985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CDC42" w14:textId="77777777" w:rsidR="00E97B01" w:rsidRDefault="00E97B01" w:rsidP="003706CB">
      <w:pPr>
        <w:spacing w:after="0" w:line="240" w:lineRule="auto"/>
      </w:pPr>
      <w:r>
        <w:separator/>
      </w:r>
    </w:p>
  </w:endnote>
  <w:endnote w:type="continuationSeparator" w:id="0">
    <w:p w14:paraId="1C21F02D" w14:textId="77777777" w:rsidR="00E97B01" w:rsidRDefault="00E97B01" w:rsidP="003706CB">
      <w:pPr>
        <w:spacing w:after="0" w:line="240" w:lineRule="auto"/>
      </w:pPr>
      <w:r>
        <w:continuationSeparator/>
      </w:r>
    </w:p>
  </w:endnote>
  <w:endnote w:type="continuationNotice" w:id="1">
    <w:p w14:paraId="08090DA4" w14:textId="77777777" w:rsidR="00E97B01" w:rsidRDefault="00E97B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4D551" w14:textId="5EF8C162" w:rsidR="00890D55" w:rsidRPr="00E86EC1" w:rsidRDefault="00890D55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610518"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610518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  <w:p w14:paraId="2374D552" w14:textId="77777777" w:rsidR="00890D55" w:rsidRDefault="00890D55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90D55" w:rsidRPr="00A94233" w14:paraId="2374D55B" w14:textId="77777777" w:rsidTr="00890D5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3CD7A9AC" w:rsidR="00890D55" w:rsidRPr="00637260" w:rsidRDefault="00890D55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b/>
              <w:bCs/>
              <w:color w:val="FF5200"/>
              <w:sz w:val="14"/>
              <w:szCs w:val="14"/>
            </w:rPr>
          </w:pP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>PAGE   \* MERGEFORMAT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AB591F" w:rsidRPr="00AB591F">
            <w:rPr>
              <w:b/>
              <w:bCs/>
              <w:noProof/>
              <w:color w:val="FF5200"/>
              <w:sz w:val="14"/>
              <w:szCs w:val="14"/>
            </w:rPr>
            <w:t>1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t>/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 xml:space="preserve"> NUMPAGES   \* MERGEFORMAT 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AB591F" w:rsidRPr="00AB591F">
            <w:rPr>
              <w:b/>
              <w:bCs/>
              <w:noProof/>
              <w:color w:val="FF5200"/>
              <w:sz w:val="14"/>
              <w:szCs w:val="14"/>
            </w:rPr>
            <w:t>9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890D55" w:rsidRPr="00A94233" w:rsidRDefault="00890D55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Pr="00A94233">
            <w:rPr>
              <w:rFonts w:eastAsia="Verdana"/>
              <w:sz w:val="12"/>
            </w:rPr>
            <w:t>, státní organizace</w:t>
          </w:r>
        </w:p>
        <w:p w14:paraId="2374D556" w14:textId="77777777" w:rsidR="00890D55" w:rsidRPr="00A94233" w:rsidRDefault="00890D55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890D55" w:rsidRPr="00A94233" w:rsidRDefault="00890D55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Sídlo: Dlážděná 1003/7, 110 00 Praha 1</w:t>
          </w:r>
        </w:p>
        <w:p w14:paraId="2374D558" w14:textId="77777777" w:rsidR="00890D55" w:rsidRPr="00A94233" w:rsidRDefault="00890D55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IČ: 709 94 234 DIČ: CZ 709 94 234</w:t>
          </w:r>
        </w:p>
        <w:p w14:paraId="2374D559" w14:textId="01FF1F87" w:rsidR="00890D55" w:rsidRPr="00A94233" w:rsidRDefault="00890D55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www.</w:t>
          </w:r>
          <w:r>
            <w:rPr>
              <w:rFonts w:eastAsia="Verdana"/>
              <w:sz w:val="12"/>
            </w:rPr>
            <w:t>spravazeleznic</w:t>
          </w:r>
          <w:r w:rsidRPr="00A94233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890D55" w:rsidRPr="00A94233" w:rsidRDefault="00890D55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2374D55C" w14:textId="77777777" w:rsidR="00890D55" w:rsidRDefault="00890D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7F227" w14:textId="77777777" w:rsidR="00E97B01" w:rsidRDefault="00E97B01" w:rsidP="003706CB">
      <w:pPr>
        <w:spacing w:after="0" w:line="240" w:lineRule="auto"/>
      </w:pPr>
      <w:r>
        <w:separator/>
      </w:r>
    </w:p>
  </w:footnote>
  <w:footnote w:type="continuationSeparator" w:id="0">
    <w:p w14:paraId="1D1D0EAF" w14:textId="77777777" w:rsidR="00E97B01" w:rsidRDefault="00E97B01" w:rsidP="003706CB">
      <w:pPr>
        <w:spacing w:after="0" w:line="240" w:lineRule="auto"/>
      </w:pPr>
      <w:r>
        <w:continuationSeparator/>
      </w:r>
    </w:p>
  </w:footnote>
  <w:footnote w:type="continuationNotice" w:id="1">
    <w:p w14:paraId="04976C95" w14:textId="77777777" w:rsidR="00E97B01" w:rsidRDefault="00E97B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4D553" w14:textId="2CF121FF" w:rsidR="00890D55" w:rsidRPr="008512E5" w:rsidRDefault="00890D55" w:rsidP="008512E5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609068121" name="Obrázek 1609068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3A91"/>
    <w:multiLevelType w:val="multilevel"/>
    <w:tmpl w:val="AE1E3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odstavec"/>
      <w:lvlText w:val="%2."/>
      <w:lvlJc w:val="left"/>
      <w:pPr>
        <w:ind w:left="567" w:hanging="567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multilevel"/>
    <w:tmpl w:val="12D49468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F707B9D"/>
    <w:multiLevelType w:val="multilevel"/>
    <w:tmpl w:val="B5A63D98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7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8A46F6E"/>
    <w:multiLevelType w:val="multilevel"/>
    <w:tmpl w:val="193C5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09529306">
    <w:abstractNumId w:val="7"/>
  </w:num>
  <w:num w:numId="2" w16cid:durableId="1142431110">
    <w:abstractNumId w:val="1"/>
  </w:num>
  <w:num w:numId="3" w16cid:durableId="637027267">
    <w:abstractNumId w:val="0"/>
  </w:num>
  <w:num w:numId="4" w16cid:durableId="1183470391">
    <w:abstractNumId w:val="3"/>
  </w:num>
  <w:num w:numId="5" w16cid:durableId="2066902332">
    <w:abstractNumId w:val="6"/>
  </w:num>
  <w:num w:numId="6" w16cid:durableId="198054264">
    <w:abstractNumId w:val="5"/>
  </w:num>
  <w:num w:numId="7" w16cid:durableId="2896317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855953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73591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22374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75912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909261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3859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181223">
    <w:abstractNumId w:val="2"/>
  </w:num>
  <w:num w:numId="15" w16cid:durableId="778721364">
    <w:abstractNumId w:val="6"/>
  </w:num>
  <w:num w:numId="16" w16cid:durableId="15886840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04430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88920996">
    <w:abstractNumId w:val="8"/>
  </w:num>
  <w:num w:numId="19" w16cid:durableId="7522454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82873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652774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37929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29012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99241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971387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584163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48985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987450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41039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95052622">
    <w:abstractNumId w:val="6"/>
  </w:num>
  <w:num w:numId="31" w16cid:durableId="20387261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463764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177F9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38CD"/>
    <w:rsid w:val="00066FAC"/>
    <w:rsid w:val="0007537E"/>
    <w:rsid w:val="000770E5"/>
    <w:rsid w:val="00077BA9"/>
    <w:rsid w:val="00081334"/>
    <w:rsid w:val="00082657"/>
    <w:rsid w:val="000826F9"/>
    <w:rsid w:val="000878CB"/>
    <w:rsid w:val="00093087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4ADE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0318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83647"/>
    <w:rsid w:val="00190A1B"/>
    <w:rsid w:val="001937F5"/>
    <w:rsid w:val="001A3204"/>
    <w:rsid w:val="001A3DB4"/>
    <w:rsid w:val="001A487E"/>
    <w:rsid w:val="001B04D3"/>
    <w:rsid w:val="001B2DC9"/>
    <w:rsid w:val="001B51B9"/>
    <w:rsid w:val="001C7FC3"/>
    <w:rsid w:val="001D0580"/>
    <w:rsid w:val="001D2DB5"/>
    <w:rsid w:val="001D65ED"/>
    <w:rsid w:val="001E19B2"/>
    <w:rsid w:val="001E2076"/>
    <w:rsid w:val="001E4EEF"/>
    <w:rsid w:val="001F39B2"/>
    <w:rsid w:val="001F603F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26C4C"/>
    <w:rsid w:val="0023151B"/>
    <w:rsid w:val="00235018"/>
    <w:rsid w:val="00235366"/>
    <w:rsid w:val="00235748"/>
    <w:rsid w:val="002422A1"/>
    <w:rsid w:val="00242EE0"/>
    <w:rsid w:val="0024350F"/>
    <w:rsid w:val="002443C7"/>
    <w:rsid w:val="00250227"/>
    <w:rsid w:val="002507FA"/>
    <w:rsid w:val="0025725F"/>
    <w:rsid w:val="00264CA8"/>
    <w:rsid w:val="00265DFD"/>
    <w:rsid w:val="002724E5"/>
    <w:rsid w:val="00275A24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A88"/>
    <w:rsid w:val="002D5EE8"/>
    <w:rsid w:val="002E26EC"/>
    <w:rsid w:val="002E6229"/>
    <w:rsid w:val="002F231C"/>
    <w:rsid w:val="002F78E1"/>
    <w:rsid w:val="002F7905"/>
    <w:rsid w:val="00300042"/>
    <w:rsid w:val="0030498A"/>
    <w:rsid w:val="0031122A"/>
    <w:rsid w:val="003120FE"/>
    <w:rsid w:val="00322516"/>
    <w:rsid w:val="00322F6C"/>
    <w:rsid w:val="00324F76"/>
    <w:rsid w:val="003276C2"/>
    <w:rsid w:val="00332559"/>
    <w:rsid w:val="00335DD4"/>
    <w:rsid w:val="00343CE9"/>
    <w:rsid w:val="00344BF2"/>
    <w:rsid w:val="003509D2"/>
    <w:rsid w:val="003706CB"/>
    <w:rsid w:val="003748A1"/>
    <w:rsid w:val="00380192"/>
    <w:rsid w:val="00383345"/>
    <w:rsid w:val="003847FF"/>
    <w:rsid w:val="003862BB"/>
    <w:rsid w:val="0038650C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C4BF7"/>
    <w:rsid w:val="003C75EF"/>
    <w:rsid w:val="003D2F85"/>
    <w:rsid w:val="003D42FC"/>
    <w:rsid w:val="003E0E6B"/>
    <w:rsid w:val="003E3A94"/>
    <w:rsid w:val="003F0F9F"/>
    <w:rsid w:val="003F45E4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2549"/>
    <w:rsid w:val="0046631B"/>
    <w:rsid w:val="0047043C"/>
    <w:rsid w:val="00477181"/>
    <w:rsid w:val="00481FBA"/>
    <w:rsid w:val="00482D85"/>
    <w:rsid w:val="00483564"/>
    <w:rsid w:val="00490DD5"/>
    <w:rsid w:val="00494EE5"/>
    <w:rsid w:val="004A0D5B"/>
    <w:rsid w:val="004A0F48"/>
    <w:rsid w:val="004A60ED"/>
    <w:rsid w:val="004B0429"/>
    <w:rsid w:val="004B17F3"/>
    <w:rsid w:val="004B71BA"/>
    <w:rsid w:val="004B744D"/>
    <w:rsid w:val="004C28AD"/>
    <w:rsid w:val="004D1054"/>
    <w:rsid w:val="004D235B"/>
    <w:rsid w:val="004D3F5F"/>
    <w:rsid w:val="004D47B7"/>
    <w:rsid w:val="004D59D9"/>
    <w:rsid w:val="004E2646"/>
    <w:rsid w:val="004F08D8"/>
    <w:rsid w:val="004F14F3"/>
    <w:rsid w:val="004F194C"/>
    <w:rsid w:val="004F22C3"/>
    <w:rsid w:val="004F37BA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76BA9"/>
    <w:rsid w:val="00582467"/>
    <w:rsid w:val="00596222"/>
    <w:rsid w:val="0059769D"/>
    <w:rsid w:val="005A4E1A"/>
    <w:rsid w:val="005A77B8"/>
    <w:rsid w:val="005C0CA5"/>
    <w:rsid w:val="005C2EC2"/>
    <w:rsid w:val="005C6158"/>
    <w:rsid w:val="005C776A"/>
    <w:rsid w:val="005C7CE7"/>
    <w:rsid w:val="005D4748"/>
    <w:rsid w:val="005D4FDA"/>
    <w:rsid w:val="005D6921"/>
    <w:rsid w:val="005D7C2C"/>
    <w:rsid w:val="005E3788"/>
    <w:rsid w:val="005E4576"/>
    <w:rsid w:val="005E6AD4"/>
    <w:rsid w:val="005F6869"/>
    <w:rsid w:val="006017C5"/>
    <w:rsid w:val="00606BB7"/>
    <w:rsid w:val="006073B6"/>
    <w:rsid w:val="00610518"/>
    <w:rsid w:val="00613B66"/>
    <w:rsid w:val="00616498"/>
    <w:rsid w:val="006307FB"/>
    <w:rsid w:val="006343DA"/>
    <w:rsid w:val="00634660"/>
    <w:rsid w:val="00637260"/>
    <w:rsid w:val="00643CE5"/>
    <w:rsid w:val="006452A8"/>
    <w:rsid w:val="00646FD3"/>
    <w:rsid w:val="00650169"/>
    <w:rsid w:val="006507C6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D45"/>
    <w:rsid w:val="006A75E7"/>
    <w:rsid w:val="006B0D7E"/>
    <w:rsid w:val="006C21B2"/>
    <w:rsid w:val="006D13CC"/>
    <w:rsid w:val="006D1ACE"/>
    <w:rsid w:val="006D2F28"/>
    <w:rsid w:val="006E381A"/>
    <w:rsid w:val="006F373D"/>
    <w:rsid w:val="006F4E79"/>
    <w:rsid w:val="006F5E55"/>
    <w:rsid w:val="00701354"/>
    <w:rsid w:val="00704284"/>
    <w:rsid w:val="00704546"/>
    <w:rsid w:val="0070488A"/>
    <w:rsid w:val="0071081E"/>
    <w:rsid w:val="00712561"/>
    <w:rsid w:val="00714260"/>
    <w:rsid w:val="0071515E"/>
    <w:rsid w:val="00715EC9"/>
    <w:rsid w:val="00732164"/>
    <w:rsid w:val="00735466"/>
    <w:rsid w:val="00736362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3D09"/>
    <w:rsid w:val="00794EC8"/>
    <w:rsid w:val="0079648B"/>
    <w:rsid w:val="007A081A"/>
    <w:rsid w:val="007A2C38"/>
    <w:rsid w:val="007A692F"/>
    <w:rsid w:val="007A7018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4F18"/>
    <w:rsid w:val="007E6705"/>
    <w:rsid w:val="007F062A"/>
    <w:rsid w:val="007F077B"/>
    <w:rsid w:val="007F0F0A"/>
    <w:rsid w:val="007F1313"/>
    <w:rsid w:val="007F1A30"/>
    <w:rsid w:val="007F2C74"/>
    <w:rsid w:val="007F3E0C"/>
    <w:rsid w:val="007F4DE8"/>
    <w:rsid w:val="007F73AD"/>
    <w:rsid w:val="00801C83"/>
    <w:rsid w:val="00803077"/>
    <w:rsid w:val="008039F6"/>
    <w:rsid w:val="00811354"/>
    <w:rsid w:val="0081183E"/>
    <w:rsid w:val="008135F0"/>
    <w:rsid w:val="00813F93"/>
    <w:rsid w:val="00815E99"/>
    <w:rsid w:val="0082429B"/>
    <w:rsid w:val="008302ED"/>
    <w:rsid w:val="00835B2F"/>
    <w:rsid w:val="0083798C"/>
    <w:rsid w:val="00842093"/>
    <w:rsid w:val="00844542"/>
    <w:rsid w:val="0084459D"/>
    <w:rsid w:val="00846710"/>
    <w:rsid w:val="008512E5"/>
    <w:rsid w:val="0085363C"/>
    <w:rsid w:val="00860ADA"/>
    <w:rsid w:val="008611B5"/>
    <w:rsid w:val="00862846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0D55"/>
    <w:rsid w:val="00893409"/>
    <w:rsid w:val="00894353"/>
    <w:rsid w:val="008A0F99"/>
    <w:rsid w:val="008A70B1"/>
    <w:rsid w:val="008B1A0A"/>
    <w:rsid w:val="008B447E"/>
    <w:rsid w:val="008B4D9D"/>
    <w:rsid w:val="008C188D"/>
    <w:rsid w:val="008C1DEB"/>
    <w:rsid w:val="008C566E"/>
    <w:rsid w:val="008D49F0"/>
    <w:rsid w:val="008D7572"/>
    <w:rsid w:val="008E1C44"/>
    <w:rsid w:val="008E4964"/>
    <w:rsid w:val="008E7148"/>
    <w:rsid w:val="008F0D1F"/>
    <w:rsid w:val="008F0E4A"/>
    <w:rsid w:val="008F1BAF"/>
    <w:rsid w:val="008F1C8F"/>
    <w:rsid w:val="008F7040"/>
    <w:rsid w:val="0090001C"/>
    <w:rsid w:val="0090270E"/>
    <w:rsid w:val="00902C3A"/>
    <w:rsid w:val="00903D77"/>
    <w:rsid w:val="009070D6"/>
    <w:rsid w:val="009126E8"/>
    <w:rsid w:val="009138F7"/>
    <w:rsid w:val="00923981"/>
    <w:rsid w:val="00926680"/>
    <w:rsid w:val="009313FD"/>
    <w:rsid w:val="00933111"/>
    <w:rsid w:val="00936EB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0771"/>
    <w:rsid w:val="009C1FB5"/>
    <w:rsid w:val="009C5F7B"/>
    <w:rsid w:val="009F00BF"/>
    <w:rsid w:val="00A02B02"/>
    <w:rsid w:val="00A063F2"/>
    <w:rsid w:val="00A107ED"/>
    <w:rsid w:val="00A1363F"/>
    <w:rsid w:val="00A24C95"/>
    <w:rsid w:val="00A27CD9"/>
    <w:rsid w:val="00A316C8"/>
    <w:rsid w:val="00A448C4"/>
    <w:rsid w:val="00A45D3B"/>
    <w:rsid w:val="00A46AAE"/>
    <w:rsid w:val="00A5266B"/>
    <w:rsid w:val="00A53A38"/>
    <w:rsid w:val="00A57C20"/>
    <w:rsid w:val="00A65FE9"/>
    <w:rsid w:val="00A73C6F"/>
    <w:rsid w:val="00A77CA7"/>
    <w:rsid w:val="00A82F4A"/>
    <w:rsid w:val="00A91377"/>
    <w:rsid w:val="00A918B5"/>
    <w:rsid w:val="00A976F4"/>
    <w:rsid w:val="00A97771"/>
    <w:rsid w:val="00AA2A2D"/>
    <w:rsid w:val="00AA2FDB"/>
    <w:rsid w:val="00AA435D"/>
    <w:rsid w:val="00AA7FE5"/>
    <w:rsid w:val="00AB591F"/>
    <w:rsid w:val="00AC37AF"/>
    <w:rsid w:val="00AC4D48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AF7555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13E1"/>
    <w:rsid w:val="00B32A80"/>
    <w:rsid w:val="00B337A0"/>
    <w:rsid w:val="00B36B13"/>
    <w:rsid w:val="00B36B6A"/>
    <w:rsid w:val="00B37299"/>
    <w:rsid w:val="00B37744"/>
    <w:rsid w:val="00B3777D"/>
    <w:rsid w:val="00B40330"/>
    <w:rsid w:val="00B4111A"/>
    <w:rsid w:val="00B4177A"/>
    <w:rsid w:val="00B41AE7"/>
    <w:rsid w:val="00B441E7"/>
    <w:rsid w:val="00B447EA"/>
    <w:rsid w:val="00B44E13"/>
    <w:rsid w:val="00B53C04"/>
    <w:rsid w:val="00B55A40"/>
    <w:rsid w:val="00B55BD0"/>
    <w:rsid w:val="00B5765D"/>
    <w:rsid w:val="00B63F9B"/>
    <w:rsid w:val="00B702D2"/>
    <w:rsid w:val="00B7319B"/>
    <w:rsid w:val="00B93EB9"/>
    <w:rsid w:val="00B94C91"/>
    <w:rsid w:val="00B96AAD"/>
    <w:rsid w:val="00BA19C0"/>
    <w:rsid w:val="00BA5837"/>
    <w:rsid w:val="00BA7E2F"/>
    <w:rsid w:val="00BB0757"/>
    <w:rsid w:val="00BB1E6D"/>
    <w:rsid w:val="00BB6600"/>
    <w:rsid w:val="00BB7845"/>
    <w:rsid w:val="00BC50EA"/>
    <w:rsid w:val="00BC6123"/>
    <w:rsid w:val="00BD2B95"/>
    <w:rsid w:val="00BD7195"/>
    <w:rsid w:val="00BE24DE"/>
    <w:rsid w:val="00BE7269"/>
    <w:rsid w:val="00BF21E8"/>
    <w:rsid w:val="00BF52F3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1CE9"/>
    <w:rsid w:val="00C43F40"/>
    <w:rsid w:val="00C448C0"/>
    <w:rsid w:val="00C4613C"/>
    <w:rsid w:val="00C53862"/>
    <w:rsid w:val="00C563AC"/>
    <w:rsid w:val="00C70877"/>
    <w:rsid w:val="00C71F62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053B5"/>
    <w:rsid w:val="00D13D04"/>
    <w:rsid w:val="00D149FB"/>
    <w:rsid w:val="00D15BD0"/>
    <w:rsid w:val="00D21535"/>
    <w:rsid w:val="00D279CA"/>
    <w:rsid w:val="00D30AD6"/>
    <w:rsid w:val="00D30F40"/>
    <w:rsid w:val="00D323A6"/>
    <w:rsid w:val="00D3346E"/>
    <w:rsid w:val="00D334CF"/>
    <w:rsid w:val="00D45DCA"/>
    <w:rsid w:val="00D47285"/>
    <w:rsid w:val="00D51312"/>
    <w:rsid w:val="00D5313F"/>
    <w:rsid w:val="00D622B1"/>
    <w:rsid w:val="00D72725"/>
    <w:rsid w:val="00D734CC"/>
    <w:rsid w:val="00D73DCF"/>
    <w:rsid w:val="00D85996"/>
    <w:rsid w:val="00D8656A"/>
    <w:rsid w:val="00D97787"/>
    <w:rsid w:val="00D97C72"/>
    <w:rsid w:val="00DA0469"/>
    <w:rsid w:val="00DB0234"/>
    <w:rsid w:val="00DB33CD"/>
    <w:rsid w:val="00DB53C7"/>
    <w:rsid w:val="00DB7EB5"/>
    <w:rsid w:val="00DC2D4A"/>
    <w:rsid w:val="00DC3B17"/>
    <w:rsid w:val="00DC4371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20AC"/>
    <w:rsid w:val="00DF38A2"/>
    <w:rsid w:val="00DF5823"/>
    <w:rsid w:val="00DF61E5"/>
    <w:rsid w:val="00E03ECF"/>
    <w:rsid w:val="00E0446B"/>
    <w:rsid w:val="00E05929"/>
    <w:rsid w:val="00E07241"/>
    <w:rsid w:val="00E10E90"/>
    <w:rsid w:val="00E11477"/>
    <w:rsid w:val="00E11626"/>
    <w:rsid w:val="00E1230C"/>
    <w:rsid w:val="00E13B65"/>
    <w:rsid w:val="00E20E58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87631"/>
    <w:rsid w:val="00E92846"/>
    <w:rsid w:val="00E956D9"/>
    <w:rsid w:val="00E9583E"/>
    <w:rsid w:val="00E97B01"/>
    <w:rsid w:val="00E97E19"/>
    <w:rsid w:val="00EA1D44"/>
    <w:rsid w:val="00EA3CA5"/>
    <w:rsid w:val="00EA41F0"/>
    <w:rsid w:val="00EB0CF1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A77"/>
    <w:rsid w:val="00EE7FBF"/>
    <w:rsid w:val="00EF7E80"/>
    <w:rsid w:val="00F0448F"/>
    <w:rsid w:val="00F04558"/>
    <w:rsid w:val="00F04A6E"/>
    <w:rsid w:val="00F06B6C"/>
    <w:rsid w:val="00F117E6"/>
    <w:rsid w:val="00F17B92"/>
    <w:rsid w:val="00F2124E"/>
    <w:rsid w:val="00F2232C"/>
    <w:rsid w:val="00F22E45"/>
    <w:rsid w:val="00F265E8"/>
    <w:rsid w:val="00F26AEA"/>
    <w:rsid w:val="00F312C6"/>
    <w:rsid w:val="00F37200"/>
    <w:rsid w:val="00F42788"/>
    <w:rsid w:val="00F50F24"/>
    <w:rsid w:val="00F52FEF"/>
    <w:rsid w:val="00F545E5"/>
    <w:rsid w:val="00F55232"/>
    <w:rsid w:val="00F55A2B"/>
    <w:rsid w:val="00F5705D"/>
    <w:rsid w:val="00F57C05"/>
    <w:rsid w:val="00F64E0B"/>
    <w:rsid w:val="00F65FBA"/>
    <w:rsid w:val="00F662CC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4095"/>
    <w:rsid w:val="00FA799E"/>
    <w:rsid w:val="00FB0452"/>
    <w:rsid w:val="00FB062D"/>
    <w:rsid w:val="00FB2D4F"/>
    <w:rsid w:val="00FB3281"/>
    <w:rsid w:val="00FB3471"/>
    <w:rsid w:val="00FB35A4"/>
    <w:rsid w:val="00FD1161"/>
    <w:rsid w:val="00FD3BA0"/>
    <w:rsid w:val="00FD7FC7"/>
    <w:rsid w:val="00FE68F2"/>
    <w:rsid w:val="08D468D0"/>
    <w:rsid w:val="1008F2E5"/>
    <w:rsid w:val="14B40541"/>
    <w:rsid w:val="15C4DCFD"/>
    <w:rsid w:val="18F7AE9B"/>
    <w:rsid w:val="19FD2ADB"/>
    <w:rsid w:val="1AE626F5"/>
    <w:rsid w:val="241EAD19"/>
    <w:rsid w:val="27319941"/>
    <w:rsid w:val="2C5C1D1B"/>
    <w:rsid w:val="2F5587F4"/>
    <w:rsid w:val="30AD3B17"/>
    <w:rsid w:val="36C1FF91"/>
    <w:rsid w:val="391A4832"/>
    <w:rsid w:val="3B9AF257"/>
    <w:rsid w:val="3DC06E7C"/>
    <w:rsid w:val="3EB43447"/>
    <w:rsid w:val="40721C48"/>
    <w:rsid w:val="47C97AFA"/>
    <w:rsid w:val="4957FDB2"/>
    <w:rsid w:val="4D21D948"/>
    <w:rsid w:val="4DA21654"/>
    <w:rsid w:val="4DB7525C"/>
    <w:rsid w:val="4E111F70"/>
    <w:rsid w:val="527D5419"/>
    <w:rsid w:val="55914F23"/>
    <w:rsid w:val="56CB77F9"/>
    <w:rsid w:val="5EB47F1D"/>
    <w:rsid w:val="5EE44F4D"/>
    <w:rsid w:val="6271E1FB"/>
    <w:rsid w:val="65941F1F"/>
    <w:rsid w:val="65E18D66"/>
    <w:rsid w:val="68A791D1"/>
    <w:rsid w:val="73430EE5"/>
    <w:rsid w:val="75AB48C2"/>
    <w:rsid w:val="7A93601E"/>
    <w:rsid w:val="7DA3C3AE"/>
    <w:rsid w:val="7E4C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7631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4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813F93"/>
  </w:style>
  <w:style w:type="paragraph" w:customStyle="1" w:styleId="acnormalbold">
    <w:name w:val="ac_normal_bold"/>
    <w:basedOn w:val="acnormal"/>
    <w:next w:val="acnormal"/>
    <w:link w:val="acnormalboldChar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1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13F93"/>
    <w:rPr>
      <w:rFonts w:ascii="Verdana" w:eastAsia="Calibri" w:hAnsi="Verdana" w:cs="Times New Roman"/>
      <w:sz w:val="18"/>
    </w:rPr>
  </w:style>
  <w:style w:type="paragraph" w:customStyle="1" w:styleId="Zkladntext21">
    <w:name w:val="Základní text 21"/>
    <w:basedOn w:val="Normln"/>
    <w:link w:val="Zkladntext21Char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6"/>
      </w:numPr>
      <w:spacing w:line="280" w:lineRule="exact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6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Verdana" w:eastAsia="Times New Roman" w:hAnsi="Verdana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Inadpis">
    <w:name w:val="I. nadpis"/>
    <w:basedOn w:val="acnormal"/>
    <w:link w:val="InadpisChar"/>
    <w:qFormat/>
    <w:rsid w:val="0090001C"/>
    <w:pPr>
      <w:keepNext/>
      <w:numPr>
        <w:numId w:val="2"/>
      </w:numPr>
      <w:spacing w:before="240" w:after="240"/>
    </w:pPr>
    <w:rPr>
      <w:rFonts w:cstheme="minorHAnsi"/>
      <w:b/>
      <w:caps/>
      <w:sz w:val="22"/>
    </w:rPr>
  </w:style>
  <w:style w:type="character" w:customStyle="1" w:styleId="InadpisChar">
    <w:name w:val="I. nadpis Char"/>
    <w:basedOn w:val="acnormalChar"/>
    <w:link w:val="Inadpis"/>
    <w:rsid w:val="0090001C"/>
    <w:rPr>
      <w:rFonts w:ascii="Verdana" w:eastAsia="Calibri" w:hAnsi="Verdana" w:cstheme="minorHAnsi"/>
      <w:b/>
      <w:caps/>
      <w:sz w:val="18"/>
    </w:rPr>
  </w:style>
  <w:style w:type="paragraph" w:customStyle="1" w:styleId="1odstavec">
    <w:name w:val="1. odstavec"/>
    <w:basedOn w:val="acnormal"/>
    <w:link w:val="1odstavecChar"/>
    <w:qFormat/>
    <w:rsid w:val="00DB0234"/>
    <w:pPr>
      <w:widowControl w:val="0"/>
      <w:numPr>
        <w:ilvl w:val="1"/>
        <w:numId w:val="3"/>
      </w:numPr>
    </w:pPr>
    <w:rPr>
      <w:rFonts w:cstheme="minorHAnsi"/>
      <w:szCs w:val="18"/>
    </w:rPr>
  </w:style>
  <w:style w:type="character" w:customStyle="1" w:styleId="1odstavecChar">
    <w:name w:val="1. odstavec Char"/>
    <w:basedOn w:val="acnormalChar"/>
    <w:link w:val="1odstavec"/>
    <w:rsid w:val="00DB0234"/>
    <w:rPr>
      <w:rFonts w:ascii="Verdana" w:eastAsia="Calibri" w:hAnsi="Verdana" w:cstheme="minorHAnsi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3E3A94"/>
    <w:pPr>
      <w:widowControl w:val="0"/>
      <w:numPr>
        <w:numId w:val="15"/>
      </w:numPr>
      <w:tabs>
        <w:tab w:val="left" w:pos="0"/>
      </w:tabs>
    </w:pPr>
    <w:rPr>
      <w:rFonts w:cstheme="minorHAnsi"/>
      <w:szCs w:val="18"/>
    </w:rPr>
  </w:style>
  <w:style w:type="character" w:customStyle="1" w:styleId="aodstChar">
    <w:name w:val="a.odst Char"/>
    <w:basedOn w:val="acnormalChar"/>
    <w:link w:val="aodst0"/>
    <w:rsid w:val="003E3A94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 bez č."/>
    <w:basedOn w:val="acnormal"/>
    <w:link w:val="OdstbezChar"/>
    <w:qFormat/>
    <w:rsid w:val="00F55232"/>
    <w:pPr>
      <w:widowControl w:val="0"/>
      <w:ind w:left="567"/>
    </w:pPr>
    <w:rPr>
      <w:szCs w:val="18"/>
    </w:rPr>
  </w:style>
  <w:style w:type="character" w:customStyle="1" w:styleId="OdstbezChar">
    <w:name w:val="Odst. bez č. Char"/>
    <w:basedOn w:val="acnormalChar"/>
    <w:link w:val="Odstbez"/>
    <w:rsid w:val="00F55232"/>
    <w:rPr>
      <w:rFonts w:ascii="Verdana" w:eastAsia="Calibri" w:hAnsi="Verdana" w:cs="Times New Roman"/>
      <w:sz w:val="18"/>
      <w:szCs w:val="18"/>
    </w:rPr>
  </w:style>
  <w:style w:type="paragraph" w:customStyle="1" w:styleId="Nadpissml">
    <w:name w:val="Nadpis sml."/>
    <w:basedOn w:val="Normln"/>
    <w:link w:val="NadpissmlChar"/>
    <w:qFormat/>
    <w:rsid w:val="00E87631"/>
    <w:pPr>
      <w:widowControl w:val="0"/>
    </w:pPr>
    <w:rPr>
      <w:rFonts w:cstheme="minorHAnsi"/>
      <w:b/>
      <w:color w:val="FF5200"/>
      <w:sz w:val="32"/>
      <w:szCs w:val="28"/>
    </w:rPr>
  </w:style>
  <w:style w:type="character" w:customStyle="1" w:styleId="NadpissmlChar">
    <w:name w:val="Nadpis sml. Char"/>
    <w:basedOn w:val="acnormalChar"/>
    <w:link w:val="Nadpissml"/>
    <w:rsid w:val="00E87631"/>
    <w:rPr>
      <w:rFonts w:ascii="Verdana" w:eastAsia="Calibri" w:hAnsi="Verdana" w:cstheme="minorHAnsi"/>
      <w:b/>
      <w:color w:val="FF5200"/>
      <w:sz w:val="32"/>
      <w:szCs w:val="28"/>
    </w:rPr>
  </w:style>
  <w:style w:type="paragraph" w:customStyle="1" w:styleId="Podnadpissml">
    <w:name w:val="Podnadpis sml."/>
    <w:basedOn w:val="acnormal"/>
    <w:link w:val="PodnadpissmlChar"/>
    <w:rsid w:val="00E87631"/>
    <w:pPr>
      <w:widowControl w:val="0"/>
    </w:pPr>
    <w:rPr>
      <w:rFonts w:cstheme="minorHAnsi"/>
      <w:b/>
    </w:rPr>
  </w:style>
  <w:style w:type="character" w:customStyle="1" w:styleId="PodnadpissmlChar">
    <w:name w:val="Podnadpis sml. Char"/>
    <w:basedOn w:val="acnormalChar"/>
    <w:link w:val="Podnadpissml"/>
    <w:rsid w:val="00E8763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Zkladntext21"/>
    <w:link w:val="PlohynadpisChar"/>
    <w:qFormat/>
    <w:rsid w:val="00C4613C"/>
    <w:pPr>
      <w:widowControl w:val="0"/>
      <w:suppressAutoHyphens w:val="0"/>
      <w:spacing w:before="600" w:after="120" w:line="264" w:lineRule="auto"/>
    </w:pPr>
    <w:rPr>
      <w:rFonts w:ascii="Verdana" w:hAnsi="Verdana" w:cstheme="minorHAnsi"/>
      <w:b/>
      <w:sz w:val="18"/>
      <w:szCs w:val="18"/>
    </w:rPr>
  </w:style>
  <w:style w:type="character" w:customStyle="1" w:styleId="Zkladntext21Char">
    <w:name w:val="Základní text 21 Char"/>
    <w:basedOn w:val="Standardnpsmoodstavce"/>
    <w:link w:val="Zkladntext21"/>
    <w:rsid w:val="00F2124E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PlohynadpisChar">
    <w:name w:val="Přílohy nadpis Char"/>
    <w:basedOn w:val="Zkladntext21Char"/>
    <w:link w:val="Plohynadpis"/>
    <w:rsid w:val="00C4613C"/>
    <w:rPr>
      <w:rFonts w:ascii="Verdana" w:eastAsia="Times New Roman" w:hAnsi="Verdana" w:cstheme="minorHAnsi"/>
      <w:b/>
      <w:sz w:val="18"/>
      <w:szCs w:val="18"/>
      <w:lang w:eastAsia="ar-SA"/>
    </w:rPr>
  </w:style>
  <w:style w:type="paragraph" w:customStyle="1" w:styleId="plohy">
    <w:name w:val="přílohy"/>
    <w:basedOn w:val="Zkladntext21"/>
    <w:link w:val="plohyChar"/>
    <w:qFormat/>
    <w:rsid w:val="00F2124E"/>
    <w:pPr>
      <w:widowControl w:val="0"/>
      <w:suppressAutoHyphens w:val="0"/>
      <w:spacing w:line="264" w:lineRule="auto"/>
      <w:jc w:val="left"/>
    </w:pPr>
    <w:rPr>
      <w:rFonts w:ascii="Verdana" w:hAnsi="Verdana" w:cstheme="minorHAnsi"/>
      <w:sz w:val="18"/>
      <w:szCs w:val="18"/>
    </w:rPr>
  </w:style>
  <w:style w:type="character" w:customStyle="1" w:styleId="plohyChar">
    <w:name w:val="přílohy Char"/>
    <w:basedOn w:val="Zkladntext21Char"/>
    <w:link w:val="plohy"/>
    <w:rsid w:val="00F2124E"/>
    <w:rPr>
      <w:rFonts w:ascii="Verdana" w:eastAsia="Times New Roman" w:hAnsi="Verdana" w:cstheme="minorHAnsi"/>
      <w:sz w:val="18"/>
      <w:szCs w:val="18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2124E"/>
    <w:rPr>
      <w:color w:val="605E5C"/>
      <w:shd w:val="clear" w:color="auto" w:fill="E1DFDD"/>
    </w:rPr>
  </w:style>
  <w:style w:type="character" w:customStyle="1" w:styleId="Tun">
    <w:name w:val="Tučně"/>
    <w:basedOn w:val="Standardnpsmoodstavce"/>
    <w:uiPriority w:val="1"/>
    <w:qFormat/>
    <w:rsid w:val="00E87631"/>
    <w:rPr>
      <w:rFonts w:ascii="Verdana" w:hAnsi="Verdana" w:cstheme="minorHAnsi"/>
      <w:b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7631"/>
    <w:rPr>
      <w:rFonts w:ascii="Verdana" w:hAnsi="Verdana"/>
      <w:b/>
      <w:i/>
      <w:sz w:val="18"/>
    </w:rPr>
  </w:style>
  <w:style w:type="paragraph" w:customStyle="1" w:styleId="ZaObjednateleZhotovitele">
    <w:name w:val="Za Objednatele/Zhotovitele"/>
    <w:basedOn w:val="Normln"/>
    <w:link w:val="ZaObjednateleZhotoviteleChar"/>
    <w:qFormat/>
    <w:rsid w:val="00A53A38"/>
    <w:pPr>
      <w:widowControl w:val="0"/>
      <w:spacing w:before="480" w:after="0"/>
    </w:pPr>
    <w:rPr>
      <w:rFonts w:cstheme="minorHAnsi"/>
      <w:szCs w:val="18"/>
    </w:rPr>
  </w:style>
  <w:style w:type="character" w:customStyle="1" w:styleId="ZaObjednateleZhotoviteleChar">
    <w:name w:val="Za Objednatele/Zhotovitele Char"/>
    <w:basedOn w:val="Standardnpsmoodstavce"/>
    <w:link w:val="ZaObjednateleZhotovitele"/>
    <w:rsid w:val="00A53A38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90001C"/>
    <w:pPr>
      <w:widowControl w:val="0"/>
      <w:spacing w:before="1000"/>
      <w:jc w:val="left"/>
    </w:pPr>
    <w:rPr>
      <w:rFonts w:cstheme="minorHAnsi"/>
      <w:b w:val="0"/>
      <w:szCs w:val="18"/>
    </w:rPr>
  </w:style>
  <w:style w:type="character" w:customStyle="1" w:styleId="acnormalboldChar">
    <w:name w:val="ac_normal_bold Char"/>
    <w:basedOn w:val="acnormalChar"/>
    <w:link w:val="acnormalbold"/>
    <w:rsid w:val="00C4613C"/>
    <w:rPr>
      <w:rFonts w:ascii="Verdana" w:eastAsia="Calibri" w:hAnsi="Verdana" w:cs="Times New Roman"/>
      <w:b/>
      <w:sz w:val="18"/>
    </w:rPr>
  </w:style>
  <w:style w:type="character" w:customStyle="1" w:styleId="PodpisovoprvnnChar">
    <w:name w:val="Podpisové oprávnění Char"/>
    <w:basedOn w:val="acnormalboldChar"/>
    <w:link w:val="Podpisovoprvnn"/>
    <w:rsid w:val="0090001C"/>
    <w:rPr>
      <w:rFonts w:ascii="Verdana" w:eastAsia="Calibri" w:hAnsi="Verdana" w:cstheme="minorHAnsi"/>
      <w:b w:val="0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C4613C"/>
    <w:pPr>
      <w:widowControl w:val="0"/>
      <w:tabs>
        <w:tab w:val="left" w:pos="2126"/>
      </w:tabs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C4613C"/>
    <w:rPr>
      <w:rFonts w:ascii="Verdana" w:eastAsia="Calibri" w:hAnsi="Verdana" w:cs="Times New Roman"/>
      <w:sz w:val="18"/>
    </w:rPr>
  </w:style>
  <w:style w:type="paragraph" w:customStyle="1" w:styleId="Identifikace">
    <w:name w:val="Identifikace"/>
    <w:basedOn w:val="Normln"/>
    <w:link w:val="IdentifikaceChar"/>
    <w:qFormat/>
    <w:rsid w:val="00C4613C"/>
    <w:pPr>
      <w:widowControl w:val="0"/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C4613C"/>
    <w:pPr>
      <w:widowControl w:val="0"/>
      <w:spacing w:before="240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736362"/>
    <w:pPr>
      <w:spacing w:before="240" w:after="240"/>
    </w:pPr>
  </w:style>
  <w:style w:type="character" w:customStyle="1" w:styleId="PreambuleChar">
    <w:name w:val="Preambule Char"/>
    <w:basedOn w:val="Standardnpsmoodstavce"/>
    <w:link w:val="Preambule"/>
    <w:rsid w:val="00736362"/>
    <w:rPr>
      <w:rFonts w:ascii="Verdana" w:eastAsia="Calibri" w:hAnsi="Verdana" w:cs="Times New Roman"/>
      <w:sz w:val="18"/>
    </w:rPr>
  </w:style>
  <w:style w:type="character" w:customStyle="1" w:styleId="normaltextrun">
    <w:name w:val="normaltextrun"/>
    <w:basedOn w:val="Standardnpsmoodstavce"/>
    <w:rsid w:val="0090001C"/>
  </w:style>
  <w:style w:type="paragraph" w:styleId="Titulek">
    <w:name w:val="caption"/>
    <w:basedOn w:val="Normln"/>
    <w:next w:val="Normln"/>
    <w:uiPriority w:val="35"/>
    <w:semiHidden/>
    <w:unhideWhenUsed/>
    <w:qFormat/>
    <w:rsid w:val="0090001C"/>
    <w:pPr>
      <w:spacing w:after="200" w:line="240" w:lineRule="auto"/>
    </w:pPr>
    <w:rPr>
      <w:rFonts w:asciiTheme="minorHAnsi" w:eastAsiaTheme="minorHAnsi" w:hAnsiTheme="minorHAnsi" w:cstheme="minorBidi"/>
      <w:iCs/>
      <w:color w:val="1F497D" w:themeColor="text2"/>
      <w:szCs w:val="18"/>
    </w:rPr>
  </w:style>
  <w:style w:type="paragraph" w:customStyle="1" w:styleId="aodst">
    <w:name w:val="a. odst."/>
    <w:basedOn w:val="Normln"/>
    <w:link w:val="aodstChar0"/>
    <w:qFormat/>
    <w:rsid w:val="0090001C"/>
    <w:pPr>
      <w:widowControl w:val="0"/>
      <w:numPr>
        <w:numId w:val="14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90001C"/>
    <w:rPr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F231C"/>
    <w:rPr>
      <w:color w:val="800080" w:themeColor="followedHyperlink"/>
      <w:u w:val="single"/>
    </w:rPr>
  </w:style>
  <w:style w:type="paragraph" w:customStyle="1" w:styleId="Inadpis0">
    <w:name w:val="I nadpis"/>
    <w:basedOn w:val="Normln"/>
    <w:link w:val="InadpisChar0"/>
    <w:qFormat/>
    <w:rsid w:val="00793D09"/>
    <w:pPr>
      <w:keepNext/>
      <w:spacing w:before="240" w:after="240"/>
      <w:ind w:left="567" w:hanging="567"/>
      <w:jc w:val="left"/>
    </w:pPr>
    <w:rPr>
      <w:rFonts w:cstheme="minorHAnsi"/>
      <w:b/>
      <w:caps/>
    </w:rPr>
  </w:style>
  <w:style w:type="character" w:customStyle="1" w:styleId="InadpisChar0">
    <w:name w:val="I nadpis Char"/>
    <w:basedOn w:val="acnormalChar"/>
    <w:link w:val="Inadpis0"/>
    <w:rsid w:val="00793D09"/>
    <w:rPr>
      <w:rFonts w:ascii="Verdana" w:eastAsia="Calibri" w:hAnsi="Verdana" w:cstheme="minorHAnsi"/>
      <w:b/>
      <w:caps/>
      <w:sz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93D09"/>
    <w:rPr>
      <w:color w:val="605E5C"/>
      <w:shd w:val="clear" w:color="auto" w:fill="E1DFDD"/>
    </w:rPr>
  </w:style>
  <w:style w:type="paragraph" w:customStyle="1" w:styleId="11odst">
    <w:name w:val="1.1 odst."/>
    <w:basedOn w:val="Normln"/>
    <w:qFormat/>
    <w:rsid w:val="00793D09"/>
    <w:pPr>
      <w:widowControl w:val="0"/>
      <w:ind w:left="567" w:hanging="567"/>
    </w:pPr>
    <w:rPr>
      <w:rFonts w:eastAsia="Times New Roman"/>
      <w:szCs w:val="18"/>
      <w:lang w:eastAsia="cs-CZ"/>
    </w:rPr>
  </w:style>
  <w:style w:type="paragraph" w:customStyle="1" w:styleId="Odrka">
    <w:name w:val="Odrážka"/>
    <w:basedOn w:val="1odstavec"/>
    <w:next w:val="Normln"/>
    <w:qFormat/>
    <w:rsid w:val="00793D09"/>
    <w:pPr>
      <w:widowControl/>
      <w:numPr>
        <w:ilvl w:val="0"/>
        <w:numId w:val="0"/>
      </w:numPr>
      <w:ind w:left="1134" w:hanging="567"/>
    </w:pPr>
    <w:rPr>
      <w:rFonts w:eastAsia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28301A-7D23-45EF-B868-40EBC8156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2EA81E-209A-4656-812B-95A33D480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3697</Words>
  <Characters>21814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Brandejsová Martina, Mgr.</cp:lastModifiedBy>
  <cp:revision>11</cp:revision>
  <cp:lastPrinted>2018-11-08T08:22:00Z</cp:lastPrinted>
  <dcterms:created xsi:type="dcterms:W3CDTF">2024-10-22T12:21:00Z</dcterms:created>
  <dcterms:modified xsi:type="dcterms:W3CDTF">2024-10-31T07:17:00Z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